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6ECF" w14:textId="7A45B8E1" w:rsidR="00ED7BD8" w:rsidRPr="004F24F9" w:rsidRDefault="0099001C" w:rsidP="00B20677">
      <w:pPr>
        <w:jc w:val="center"/>
        <w:rPr>
          <w:b/>
          <w:sz w:val="26"/>
          <w:szCs w:val="26"/>
        </w:rPr>
      </w:pPr>
      <w:r w:rsidRPr="004F24F9">
        <w:rPr>
          <w:rStyle w:val="Bodytext2Bold"/>
          <w:rFonts w:eastAsiaTheme="minorHAnsi"/>
          <w:iCs/>
          <w:color w:val="auto"/>
          <w:sz w:val="26"/>
          <w:szCs w:val="26"/>
          <w:lang w:val="en-US"/>
        </w:rPr>
        <w:t xml:space="preserve">ĐÁNH GIÁ </w:t>
      </w:r>
      <w:r w:rsidRPr="004F24F9">
        <w:rPr>
          <w:rStyle w:val="Bodytext2Bold"/>
          <w:rFonts w:eastAsiaTheme="minorHAnsi"/>
          <w:iCs/>
          <w:color w:val="auto"/>
          <w:sz w:val="26"/>
          <w:szCs w:val="26"/>
        </w:rPr>
        <w:t xml:space="preserve">THỰC TRẠNG NGUỒN VỐN ỦY THÁC </w:t>
      </w:r>
      <w:bookmarkStart w:id="0" w:name="_Toc182080797"/>
      <w:r w:rsidRPr="004F24F9">
        <w:rPr>
          <w:rStyle w:val="Bodytext2Bold"/>
          <w:rFonts w:eastAsiaTheme="minorHAnsi"/>
          <w:iCs/>
          <w:color w:val="auto"/>
          <w:sz w:val="26"/>
          <w:szCs w:val="26"/>
        </w:rPr>
        <w:t>TỪ NGÂN SÁCH ĐỊA PHƯƠNG ĐỂ CHO VAY NGƯỜI NGHÈO VÀ CÁC ĐỐI TƯỢNG CHÍNH SÁCH KHÁC</w:t>
      </w:r>
      <w:bookmarkStart w:id="1" w:name="_Toc182080798"/>
      <w:bookmarkEnd w:id="0"/>
      <w:r w:rsidRPr="004F24F9">
        <w:rPr>
          <w:rStyle w:val="Bodytext2Bold"/>
          <w:rFonts w:eastAsiaTheme="minorHAnsi"/>
          <w:iCs/>
          <w:color w:val="auto"/>
          <w:sz w:val="26"/>
          <w:szCs w:val="26"/>
        </w:rPr>
        <w:t xml:space="preserve"> TRÊN ĐỊA BÀN TỈNH ĐỒNG NAI</w:t>
      </w:r>
      <w:bookmarkEnd w:id="1"/>
    </w:p>
    <w:p w14:paraId="1AEE0878" w14:textId="6F39FB88"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Vũ Văn Thuân</w:t>
      </w:r>
      <w:r w:rsidR="00E958F5" w:rsidRPr="004F24F9">
        <w:rPr>
          <w:rStyle w:val="Bodytext2Bold"/>
          <w:rFonts w:eastAsiaTheme="minorHAnsi"/>
          <w:i/>
          <w:iCs/>
          <w:color w:val="auto"/>
          <w:sz w:val="22"/>
          <w:szCs w:val="22"/>
          <w:vertAlign w:val="superscript"/>
        </w:rPr>
        <w:t>1</w:t>
      </w:r>
    </w:p>
    <w:p w14:paraId="38C7A070" w14:textId="4682F808"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Lê Bá Chuyên</w:t>
      </w:r>
      <w:r w:rsidR="00E958F5" w:rsidRPr="004F24F9">
        <w:rPr>
          <w:rStyle w:val="Bodytext2Bold"/>
          <w:rFonts w:eastAsiaTheme="minorHAnsi"/>
          <w:i/>
          <w:iCs/>
          <w:color w:val="auto"/>
          <w:sz w:val="22"/>
          <w:szCs w:val="22"/>
          <w:vertAlign w:val="superscript"/>
        </w:rPr>
        <w:t>2</w:t>
      </w:r>
    </w:p>
    <w:p w14:paraId="5D62AF0B" w14:textId="337D415A"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Hoàng Trần Thành Nhân</w:t>
      </w:r>
      <w:r w:rsidR="00E958F5" w:rsidRPr="004F24F9">
        <w:rPr>
          <w:rStyle w:val="Bodytext2Bold"/>
          <w:rFonts w:eastAsiaTheme="minorHAnsi"/>
          <w:i/>
          <w:iCs/>
          <w:color w:val="auto"/>
          <w:sz w:val="22"/>
          <w:szCs w:val="22"/>
          <w:vertAlign w:val="superscript"/>
        </w:rPr>
        <w:t>2</w:t>
      </w:r>
    </w:p>
    <w:p w14:paraId="2DE22857" w14:textId="37F9BE02"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Phạm Thị Xuân Thắm</w:t>
      </w:r>
      <w:r w:rsidR="00E958F5" w:rsidRPr="004F24F9">
        <w:rPr>
          <w:rStyle w:val="Bodytext2Bold"/>
          <w:rFonts w:eastAsiaTheme="minorHAnsi"/>
          <w:i/>
          <w:iCs/>
          <w:color w:val="auto"/>
          <w:sz w:val="22"/>
          <w:szCs w:val="22"/>
          <w:vertAlign w:val="superscript"/>
        </w:rPr>
        <w:t>2</w:t>
      </w:r>
    </w:p>
    <w:p w14:paraId="5832684C" w14:textId="40320435"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Phạm Thế Dinh</w:t>
      </w:r>
      <w:r w:rsidR="00E958F5" w:rsidRPr="004F24F9">
        <w:rPr>
          <w:rStyle w:val="Bodytext2Bold"/>
          <w:rFonts w:eastAsiaTheme="minorHAnsi"/>
          <w:i/>
          <w:iCs/>
          <w:color w:val="auto"/>
          <w:sz w:val="22"/>
          <w:szCs w:val="22"/>
          <w:vertAlign w:val="superscript"/>
        </w:rPr>
        <w:t>2</w:t>
      </w:r>
    </w:p>
    <w:p w14:paraId="20D80B85" w14:textId="10C4C904"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Phạm Thị Vân</w:t>
      </w:r>
      <w:r w:rsidR="00E958F5" w:rsidRPr="004F24F9">
        <w:rPr>
          <w:rStyle w:val="Bodytext2Bold"/>
          <w:rFonts w:eastAsiaTheme="minorHAnsi"/>
          <w:i/>
          <w:iCs/>
          <w:color w:val="auto"/>
          <w:sz w:val="22"/>
          <w:szCs w:val="22"/>
          <w:vertAlign w:val="superscript"/>
        </w:rPr>
        <w:t>2</w:t>
      </w:r>
    </w:p>
    <w:p w14:paraId="1B3EB3FA" w14:textId="3E92E5EC" w:rsidR="0099001C" w:rsidRPr="004F24F9" w:rsidRDefault="0099001C" w:rsidP="00544ACE">
      <w:pPr>
        <w:spacing w:line="320" w:lineRule="exact"/>
        <w:jc w:val="center"/>
        <w:rPr>
          <w:rStyle w:val="Bodytext2Bold"/>
          <w:rFonts w:eastAsiaTheme="minorHAnsi"/>
          <w:b w:val="0"/>
          <w:i/>
          <w:iCs/>
          <w:color w:val="auto"/>
          <w:sz w:val="22"/>
          <w:szCs w:val="22"/>
          <w:vertAlign w:val="superscript"/>
        </w:rPr>
      </w:pPr>
      <w:r w:rsidRPr="004F24F9">
        <w:rPr>
          <w:rStyle w:val="Bodytext2Bold"/>
          <w:rFonts w:eastAsiaTheme="minorHAnsi"/>
          <w:i/>
          <w:iCs/>
          <w:color w:val="auto"/>
          <w:sz w:val="22"/>
          <w:szCs w:val="22"/>
        </w:rPr>
        <w:t>Bùi Viễn Cao Thương</w:t>
      </w:r>
      <w:r w:rsidR="00E958F5" w:rsidRPr="004F24F9">
        <w:rPr>
          <w:rStyle w:val="Bodytext2Bold"/>
          <w:rFonts w:eastAsiaTheme="minorHAnsi"/>
          <w:i/>
          <w:iCs/>
          <w:color w:val="auto"/>
          <w:sz w:val="22"/>
          <w:szCs w:val="22"/>
          <w:vertAlign w:val="superscript"/>
        </w:rPr>
        <w:t>2</w:t>
      </w:r>
    </w:p>
    <w:p w14:paraId="56111609" w14:textId="37305C66" w:rsidR="00B20677" w:rsidRPr="004F24F9" w:rsidRDefault="0099001C" w:rsidP="00544A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jc w:val="center"/>
        <w:rPr>
          <w:rFonts w:ascii="Times New Roman" w:hAnsi="Times New Roman" w:cs="Times New Roman"/>
          <w:bCs/>
          <w:sz w:val="22"/>
          <w:szCs w:val="22"/>
          <w:lang w:val="vi-VN"/>
        </w:rPr>
      </w:pPr>
      <w:r w:rsidRPr="004F24F9">
        <w:rPr>
          <w:rFonts w:ascii="Times New Roman" w:hAnsi="Times New Roman" w:cs="Times New Roman"/>
          <w:bCs/>
          <w:sz w:val="22"/>
          <w:szCs w:val="22"/>
          <w:vertAlign w:val="superscript"/>
          <w:lang w:val="vi-VN"/>
        </w:rPr>
        <w:t>1</w:t>
      </w:r>
      <w:r w:rsidR="006F5B84" w:rsidRPr="004F24F9">
        <w:rPr>
          <w:rFonts w:ascii="Times New Roman" w:hAnsi="Times New Roman" w:cs="Times New Roman"/>
          <w:bCs/>
          <w:sz w:val="22"/>
          <w:szCs w:val="22"/>
          <w:lang w:val="vi-VN"/>
        </w:rPr>
        <w:t xml:space="preserve">Trường Đại học </w:t>
      </w:r>
      <w:r w:rsidRPr="004F24F9">
        <w:rPr>
          <w:rFonts w:ascii="Times New Roman" w:hAnsi="Times New Roman" w:cs="Times New Roman"/>
          <w:bCs/>
          <w:sz w:val="22"/>
          <w:szCs w:val="22"/>
          <w:lang w:val="vi-VN"/>
        </w:rPr>
        <w:t>Đồng Nai</w:t>
      </w:r>
    </w:p>
    <w:p w14:paraId="55558035" w14:textId="7461FD7B" w:rsidR="0099001C" w:rsidRPr="004F24F9" w:rsidRDefault="0099001C" w:rsidP="00544A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jc w:val="center"/>
        <w:rPr>
          <w:rFonts w:ascii="Times New Roman" w:hAnsi="Times New Roman" w:cs="Times New Roman"/>
          <w:bCs/>
          <w:sz w:val="22"/>
          <w:szCs w:val="22"/>
          <w:lang w:val="vi-VN"/>
        </w:rPr>
      </w:pPr>
      <w:r w:rsidRPr="004F24F9">
        <w:rPr>
          <w:rFonts w:ascii="Times New Roman" w:hAnsi="Times New Roman" w:cs="Times New Roman"/>
          <w:sz w:val="22"/>
          <w:szCs w:val="22"/>
          <w:vertAlign w:val="superscript"/>
          <w:lang w:val="vi-VN"/>
        </w:rPr>
        <w:t>2</w:t>
      </w:r>
      <w:r w:rsidRPr="004F24F9">
        <w:rPr>
          <w:rFonts w:ascii="Times New Roman" w:hAnsi="Times New Roman" w:cs="Times New Roman"/>
          <w:sz w:val="22"/>
          <w:szCs w:val="22"/>
          <w:lang w:val="vi-VN"/>
        </w:rPr>
        <w:t>Chi nh</w:t>
      </w:r>
      <w:r w:rsidR="00FB57BB" w:rsidRPr="004F24F9">
        <w:rPr>
          <w:rFonts w:ascii="Times New Roman" w:hAnsi="Times New Roman" w:cs="Times New Roman"/>
          <w:sz w:val="22"/>
          <w:szCs w:val="22"/>
          <w:lang w:val="vi-VN"/>
        </w:rPr>
        <w:t>á</w:t>
      </w:r>
      <w:r w:rsidRPr="004F24F9">
        <w:rPr>
          <w:rFonts w:ascii="Times New Roman" w:hAnsi="Times New Roman" w:cs="Times New Roman"/>
          <w:sz w:val="22"/>
          <w:szCs w:val="22"/>
          <w:lang w:val="vi-VN"/>
        </w:rPr>
        <w:t xml:space="preserve">nh Ngân hàng </w:t>
      </w:r>
      <w:r w:rsidR="007E5A3E" w:rsidRPr="004F24F9">
        <w:rPr>
          <w:rFonts w:ascii="Times New Roman" w:hAnsi="Times New Roman" w:cs="Times New Roman"/>
          <w:sz w:val="22"/>
          <w:szCs w:val="22"/>
          <w:lang w:val="vi-VN"/>
        </w:rPr>
        <w:t>C</w:t>
      </w:r>
      <w:r w:rsidRPr="004F24F9">
        <w:rPr>
          <w:rFonts w:ascii="Times New Roman" w:hAnsi="Times New Roman" w:cs="Times New Roman"/>
          <w:sz w:val="22"/>
          <w:szCs w:val="22"/>
          <w:lang w:val="vi-VN"/>
        </w:rPr>
        <w:t>hính sách xã hội tỉnh Đồng Nai</w:t>
      </w:r>
    </w:p>
    <w:p w14:paraId="688728F0" w14:textId="539EB328" w:rsidR="00B20677" w:rsidRPr="004F24F9" w:rsidRDefault="0099001C" w:rsidP="00544A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jc w:val="center"/>
        <w:rPr>
          <w:rFonts w:ascii="Times New Roman" w:hAnsi="Times New Roman" w:cs="Times New Roman"/>
          <w:bCs/>
          <w:sz w:val="22"/>
          <w:szCs w:val="22"/>
          <w:lang w:val="vi-VN"/>
        </w:rPr>
      </w:pPr>
      <w:r w:rsidRPr="004F24F9">
        <w:rPr>
          <w:rFonts w:ascii="Times New Roman" w:hAnsi="Times New Roman" w:cs="Times New Roman"/>
          <w:bCs/>
          <w:sz w:val="22"/>
          <w:szCs w:val="22"/>
          <w:lang w:val="vi-VN"/>
        </w:rPr>
        <w:t xml:space="preserve">*Tác giả liên hệ: Vũ Văn Thuân - </w:t>
      </w:r>
      <w:r w:rsidR="00B20677" w:rsidRPr="004F24F9">
        <w:rPr>
          <w:rFonts w:ascii="Times New Roman" w:hAnsi="Times New Roman" w:cs="Times New Roman"/>
          <w:bCs/>
          <w:sz w:val="22"/>
          <w:szCs w:val="22"/>
          <w:lang w:val="vi-VN"/>
        </w:rPr>
        <w:t xml:space="preserve">Email: </w:t>
      </w:r>
      <w:r w:rsidRPr="004F24F9">
        <w:rPr>
          <w:rFonts w:ascii="Times New Roman" w:hAnsi="Times New Roman" w:cs="Times New Roman"/>
          <w:sz w:val="22"/>
          <w:szCs w:val="22"/>
          <w:shd w:val="clear" w:color="auto" w:fill="FFFFFF"/>
          <w:lang w:val="vi-VN"/>
        </w:rPr>
        <w:t>vuthuan1984@gmail.com</w:t>
      </w:r>
    </w:p>
    <w:p w14:paraId="243A7EF1" w14:textId="51480DE9" w:rsidR="00B20677" w:rsidRPr="004F24F9" w:rsidRDefault="006F5B84" w:rsidP="00544A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exact"/>
        <w:jc w:val="center"/>
        <w:rPr>
          <w:rFonts w:ascii="Times New Roman" w:hAnsi="Times New Roman" w:cs="Times New Roman"/>
          <w:iCs/>
          <w:spacing w:val="-4"/>
          <w:sz w:val="22"/>
          <w:szCs w:val="22"/>
          <w:lang w:val="vi-VN"/>
        </w:rPr>
      </w:pPr>
      <w:r w:rsidRPr="004F24F9">
        <w:rPr>
          <w:rFonts w:ascii="Times New Roman" w:hAnsi="Times New Roman" w:cs="Times New Roman"/>
          <w:iCs/>
          <w:spacing w:val="-4"/>
          <w:sz w:val="22"/>
          <w:szCs w:val="22"/>
          <w:lang w:val="vi-VN"/>
        </w:rPr>
        <w:t xml:space="preserve">(Ngày nhận bài: </w:t>
      </w:r>
      <w:r w:rsidR="00667D12" w:rsidRPr="004F24F9">
        <w:rPr>
          <w:rFonts w:ascii="Times New Roman" w:hAnsi="Times New Roman" w:cs="Times New Roman"/>
          <w:iCs/>
          <w:spacing w:val="-4"/>
          <w:sz w:val="22"/>
          <w:szCs w:val="22"/>
          <w:lang w:val="vi-VN"/>
        </w:rPr>
        <w:t>6/1/2025</w:t>
      </w:r>
      <w:r w:rsidR="00B20677" w:rsidRPr="004F24F9">
        <w:rPr>
          <w:rFonts w:ascii="Times New Roman" w:hAnsi="Times New Roman" w:cs="Times New Roman"/>
          <w:iCs/>
          <w:spacing w:val="-4"/>
          <w:sz w:val="22"/>
          <w:szCs w:val="22"/>
          <w:lang w:val="vi-VN"/>
        </w:rPr>
        <w:t xml:space="preserve">, ngày nhận bài chỉnh sửa: </w:t>
      </w:r>
      <w:r w:rsidR="0099001C" w:rsidRPr="004F24F9">
        <w:rPr>
          <w:rFonts w:ascii="Times New Roman" w:hAnsi="Times New Roman" w:cs="Times New Roman"/>
          <w:iCs/>
          <w:spacing w:val="-4"/>
          <w:sz w:val="22"/>
          <w:szCs w:val="22"/>
          <w:lang w:val="vi-VN"/>
        </w:rPr>
        <w:t>21/1/2025</w:t>
      </w:r>
      <w:r w:rsidR="00B20677" w:rsidRPr="004F24F9">
        <w:rPr>
          <w:rFonts w:ascii="Times New Roman" w:hAnsi="Times New Roman" w:cs="Times New Roman"/>
          <w:iCs/>
          <w:spacing w:val="-4"/>
          <w:sz w:val="22"/>
          <w:szCs w:val="22"/>
          <w:lang w:val="vi-VN"/>
        </w:rPr>
        <w:t>, ngày duyệ</w:t>
      </w:r>
      <w:r w:rsidR="00CF4C35" w:rsidRPr="004F24F9">
        <w:rPr>
          <w:rFonts w:ascii="Times New Roman" w:hAnsi="Times New Roman" w:cs="Times New Roman"/>
          <w:iCs/>
          <w:spacing w:val="-4"/>
          <w:sz w:val="22"/>
          <w:szCs w:val="22"/>
          <w:lang w:val="vi-VN"/>
        </w:rPr>
        <w:t>t đăng: 23</w:t>
      </w:r>
      <w:r w:rsidR="00B20677" w:rsidRPr="004F24F9">
        <w:rPr>
          <w:rFonts w:ascii="Times New Roman" w:hAnsi="Times New Roman" w:cs="Times New Roman"/>
          <w:iCs/>
          <w:spacing w:val="-4"/>
          <w:sz w:val="22"/>
          <w:szCs w:val="22"/>
          <w:lang w:val="vi-VN"/>
        </w:rPr>
        <w:t>/1/2025)</w:t>
      </w:r>
    </w:p>
    <w:p w14:paraId="312D6F0E" w14:textId="77777777" w:rsidR="003403EE" w:rsidRPr="004F24F9" w:rsidRDefault="003403EE" w:rsidP="00544ACE">
      <w:pPr>
        <w:spacing w:line="320" w:lineRule="exact"/>
        <w:ind w:left="1701" w:right="567" w:hanging="1134"/>
        <w:jc w:val="center"/>
        <w:rPr>
          <w:rFonts w:cs="Times New Roman"/>
          <w:b/>
          <w:bCs/>
          <w:i/>
          <w:iCs/>
          <w:sz w:val="24"/>
          <w:szCs w:val="24"/>
        </w:rPr>
      </w:pPr>
      <w:r w:rsidRPr="004F24F9">
        <w:rPr>
          <w:rFonts w:cs="Times New Roman"/>
          <w:b/>
          <w:bCs/>
          <w:i/>
          <w:iCs/>
          <w:sz w:val="24"/>
          <w:szCs w:val="24"/>
        </w:rPr>
        <w:t>TÓM TẮT</w:t>
      </w:r>
    </w:p>
    <w:p w14:paraId="121BCE06" w14:textId="285F34FE" w:rsidR="00F00A70" w:rsidRPr="004F24F9" w:rsidRDefault="00F00A70" w:rsidP="00544ACE">
      <w:pPr>
        <w:spacing w:line="320" w:lineRule="exact"/>
        <w:ind w:firstLine="397"/>
        <w:jc w:val="both"/>
        <w:rPr>
          <w:rStyle w:val="Hyperlink"/>
          <w:rFonts w:cs="Times New Roman"/>
          <w:i/>
          <w:color w:val="auto"/>
          <w:spacing w:val="-2"/>
          <w:sz w:val="24"/>
          <w:szCs w:val="24"/>
          <w:u w:val="none"/>
          <w:lang w:val="nl-NL"/>
        </w:rPr>
      </w:pPr>
      <w:r w:rsidRPr="004F24F9">
        <w:rPr>
          <w:i/>
          <w:sz w:val="24"/>
          <w:szCs w:val="24"/>
        </w:rPr>
        <w:t xml:space="preserve">Tín dụng chính sách cho vay người nghèo và các đối tượng chính sách luôn được Đảng và nhà nước </w:t>
      </w:r>
      <w:r w:rsidR="00613C82" w:rsidRPr="004F24F9">
        <w:rPr>
          <w:i/>
          <w:sz w:val="24"/>
          <w:szCs w:val="24"/>
          <w:lang w:val="en-US"/>
        </w:rPr>
        <w:t>coi</w:t>
      </w:r>
      <w:r w:rsidRPr="004F24F9">
        <w:rPr>
          <w:i/>
          <w:sz w:val="24"/>
          <w:szCs w:val="24"/>
        </w:rPr>
        <w:t xml:space="preserve"> trọng</w:t>
      </w:r>
      <w:r w:rsidR="00613C82" w:rsidRPr="004F24F9">
        <w:rPr>
          <w:i/>
          <w:sz w:val="24"/>
          <w:szCs w:val="24"/>
          <w:lang w:val="en-US"/>
        </w:rPr>
        <w:t xml:space="preserve"> trong thời gian qua</w:t>
      </w:r>
      <w:r w:rsidRPr="004F24F9">
        <w:rPr>
          <w:i/>
          <w:sz w:val="24"/>
          <w:szCs w:val="24"/>
        </w:rPr>
        <w:t>. Tại Đồng Nai, nguồn vốn ủy thác từ ngân sách nhà nước sang Ngân hàng chính sách xã hội tỉ</w:t>
      </w:r>
      <w:r w:rsidR="00AA2789" w:rsidRPr="004F24F9">
        <w:rPr>
          <w:i/>
          <w:sz w:val="24"/>
          <w:szCs w:val="24"/>
        </w:rPr>
        <w:t>nh</w:t>
      </w:r>
      <w:r w:rsidRPr="004F24F9">
        <w:rPr>
          <w:i/>
          <w:sz w:val="24"/>
          <w:szCs w:val="24"/>
        </w:rPr>
        <w:t xml:space="preserve"> trong những năm qua ngày càng tăng, thể hiện sự quan tâm của tỉnh đối với người nghèo và các đối tượng chính sách. </w:t>
      </w:r>
      <w:r w:rsidRPr="004F24F9">
        <w:rPr>
          <w:rStyle w:val="Hyperlink"/>
          <w:rFonts w:cs="Times New Roman"/>
          <w:i/>
          <w:color w:val="auto"/>
          <w:spacing w:val="-2"/>
          <w:sz w:val="24"/>
          <w:szCs w:val="24"/>
          <w:u w:val="none"/>
          <w:lang w:val="nl-NL"/>
        </w:rPr>
        <w:t xml:space="preserve">Nguồn vốn tăng lên giúp cải thiện đáng kể nhu cầu vay của các đối tượng vay vốn theo quy định. Nguồn vốn ủy thác cho vay đối với người nghèo và các đối tượng chính sách khác cũng góp phần không nhỏ nâng cao hiệu quả kinh tế - xã hội của tỉnh. Nhiều nhóm khách hàng có hoàn cảnh khó khăn được hỗ trợ vốn để vươn lên trong cuộc sống như: nhóm người nghèo, nhóm đồng bào các dân tộc ít người, nhóm hợp tác xã, nhóm sinh viên... Có thể nói việc tăng cường và tập trung nguồn vốn ủy thác từ ngân sách nhà nước sang </w:t>
      </w:r>
      <w:r w:rsidR="00613C82" w:rsidRPr="004F24F9">
        <w:rPr>
          <w:rStyle w:val="Hyperlink"/>
          <w:rFonts w:cs="Times New Roman"/>
          <w:i/>
          <w:color w:val="auto"/>
          <w:spacing w:val="-2"/>
          <w:sz w:val="24"/>
          <w:szCs w:val="24"/>
          <w:u w:val="none"/>
          <w:lang w:val="nl-NL"/>
        </w:rPr>
        <w:t xml:space="preserve">Ngân hàng Chính sách xã hội </w:t>
      </w:r>
      <w:r w:rsidRPr="004F24F9">
        <w:rPr>
          <w:rStyle w:val="Hyperlink"/>
          <w:rFonts w:cs="Times New Roman"/>
          <w:i/>
          <w:color w:val="auto"/>
          <w:spacing w:val="-2"/>
          <w:sz w:val="24"/>
          <w:szCs w:val="24"/>
          <w:u w:val="none"/>
          <w:lang w:val="nl-NL"/>
        </w:rPr>
        <w:t xml:space="preserve"> nói chung và tỉnh Đồng Nai nói riêng là chủ trư</w:t>
      </w:r>
      <w:r w:rsidR="00613C82" w:rsidRPr="004F24F9">
        <w:rPr>
          <w:rStyle w:val="Hyperlink"/>
          <w:rFonts w:cs="Times New Roman"/>
          <w:i/>
          <w:color w:val="auto"/>
          <w:spacing w:val="-2"/>
          <w:sz w:val="24"/>
          <w:szCs w:val="24"/>
          <w:u w:val="none"/>
          <w:lang w:val="nl-NL"/>
        </w:rPr>
        <w:t>ơ</w:t>
      </w:r>
      <w:r w:rsidRPr="004F24F9">
        <w:rPr>
          <w:rStyle w:val="Hyperlink"/>
          <w:rFonts w:cs="Times New Roman"/>
          <w:i/>
          <w:color w:val="auto"/>
          <w:spacing w:val="-2"/>
          <w:sz w:val="24"/>
          <w:szCs w:val="24"/>
          <w:u w:val="none"/>
          <w:lang w:val="nl-NL"/>
        </w:rPr>
        <w:t>ng và quyết sách đúng của Đảng và Nhà nước góp phần thực hiện hiệu quả đường lối phát triển kinh tế thị trường định hướng xã hội chủ nghĩa mà Đảng đã đề ra.</w:t>
      </w:r>
    </w:p>
    <w:p w14:paraId="49882DD6" w14:textId="3F43B6F9" w:rsidR="006241F2" w:rsidRPr="004F24F9" w:rsidRDefault="00F00A70" w:rsidP="00544ACE">
      <w:pPr>
        <w:spacing w:line="320" w:lineRule="exact"/>
        <w:ind w:firstLine="397"/>
        <w:jc w:val="both"/>
        <w:rPr>
          <w:rFonts w:eastAsia="Times New Roman" w:cs="Times New Roman"/>
          <w:i/>
          <w:sz w:val="24"/>
          <w:szCs w:val="24"/>
          <w:lang w:val="nl-NL"/>
        </w:rPr>
      </w:pPr>
      <w:r w:rsidRPr="004F24F9">
        <w:rPr>
          <w:rStyle w:val="Hyperlink"/>
          <w:rFonts w:cs="Times New Roman"/>
          <w:b/>
          <w:i/>
          <w:color w:val="auto"/>
          <w:spacing w:val="-2"/>
          <w:sz w:val="24"/>
          <w:szCs w:val="24"/>
          <w:u w:val="none"/>
          <w:lang w:val="nl-NL"/>
        </w:rPr>
        <w:t>Từ khóa</w:t>
      </w:r>
      <w:r w:rsidRPr="004F24F9">
        <w:rPr>
          <w:rStyle w:val="Hyperlink"/>
          <w:rFonts w:cs="Times New Roman"/>
          <w:i/>
          <w:color w:val="auto"/>
          <w:spacing w:val="-2"/>
          <w:sz w:val="24"/>
          <w:szCs w:val="24"/>
          <w:u w:val="none"/>
          <w:lang w:val="nl-NL"/>
        </w:rPr>
        <w:t>: Tín dụng, chính sách, Đồng Nai</w:t>
      </w:r>
    </w:p>
    <w:p w14:paraId="237F8C08" w14:textId="77777777" w:rsidR="009B0A7F" w:rsidRPr="004F24F9" w:rsidRDefault="009B0A7F" w:rsidP="00544ACE">
      <w:pPr>
        <w:widowControl w:val="0"/>
        <w:spacing w:line="320" w:lineRule="exact"/>
        <w:jc w:val="both"/>
        <w:rPr>
          <w:rFonts w:eastAsia="Times New Roman"/>
          <w:sz w:val="24"/>
          <w:szCs w:val="24"/>
        </w:rPr>
        <w:sectPr w:rsidR="009B0A7F" w:rsidRPr="004F24F9" w:rsidSect="007202BB">
          <w:headerReference w:type="default" r:id="rId8"/>
          <w:footerReference w:type="default" r:id="rId9"/>
          <w:type w:val="continuous"/>
          <w:pgSz w:w="11057" w:h="15593" w:code="9"/>
          <w:pgMar w:top="1418" w:right="1418" w:bottom="1418" w:left="1418" w:header="964" w:footer="851" w:gutter="0"/>
          <w:pgNumType w:start="94"/>
          <w:cols w:space="454"/>
          <w:docGrid w:linePitch="381"/>
        </w:sectPr>
      </w:pPr>
    </w:p>
    <w:p w14:paraId="7951FF9E" w14:textId="77777777" w:rsidR="009E4C91" w:rsidRPr="004F24F9" w:rsidRDefault="009E4C91" w:rsidP="00544ACE">
      <w:pPr>
        <w:spacing w:line="320" w:lineRule="exact"/>
        <w:jc w:val="both"/>
        <w:rPr>
          <w:rFonts w:cs="Times New Roman"/>
          <w:b/>
          <w:sz w:val="24"/>
          <w:szCs w:val="24"/>
        </w:rPr>
      </w:pPr>
      <w:r w:rsidRPr="004F24F9">
        <w:rPr>
          <w:rFonts w:cs="Times New Roman"/>
          <w:b/>
          <w:sz w:val="24"/>
          <w:szCs w:val="24"/>
        </w:rPr>
        <w:lastRenderedPageBreak/>
        <w:t>1. Đặt vấn đề</w:t>
      </w:r>
    </w:p>
    <w:p w14:paraId="3956D755" w14:textId="274CFF8D" w:rsidR="00B725EF" w:rsidRPr="004F24F9" w:rsidRDefault="00B725EF" w:rsidP="00483C6A">
      <w:pPr>
        <w:pStyle w:val="BodyText3"/>
        <w:spacing w:after="0" w:line="320" w:lineRule="exact"/>
        <w:ind w:firstLine="397"/>
        <w:rPr>
          <w:rFonts w:cs="Times New Roman"/>
          <w:spacing w:val="-2"/>
          <w:sz w:val="24"/>
          <w:szCs w:val="24"/>
          <w:lang w:val="pt-BR"/>
        </w:rPr>
      </w:pPr>
      <w:r w:rsidRPr="004F24F9">
        <w:rPr>
          <w:rFonts w:cs="Times New Roman"/>
          <w:spacing w:val="-2"/>
          <w:sz w:val="24"/>
          <w:szCs w:val="24"/>
          <w:lang w:val="vi-VN"/>
        </w:rPr>
        <w:t xml:space="preserve">Quan tâm đến người nghèo và những đối tượng chính sách là một trong những chủ trương lớn của Đảng và Nhà nước. Một trong những chính sách giúp cho người nghèo, người có hoàn cảnh khó khăn và các gia đình chính sách có cơ hội vươn lên trong cuộc sống là cho vay ưu đãi. Hiện thực hóa chủ trương, chính sách đó, Đảng và Nhà nước đã ban hành nhiều chính sách để triển khai thực hiện như: </w:t>
      </w:r>
      <w:r w:rsidRPr="004F24F9">
        <w:rPr>
          <w:rFonts w:cs="Times New Roman"/>
          <w:spacing w:val="-2"/>
          <w:sz w:val="24"/>
          <w:szCs w:val="24"/>
          <w:lang w:val="vi-VN"/>
        </w:rPr>
        <w:lastRenderedPageBreak/>
        <w:t xml:space="preserve">Kết luận số 06-KL/TW ngày 10/6/2021 của Ban Bí thư Trung ương Đảng; Quyết định số </w:t>
      </w:r>
      <w:r w:rsidRPr="004F24F9">
        <w:rPr>
          <w:rFonts w:cs="Times New Roman"/>
          <w:spacing w:val="-2"/>
          <w:sz w:val="24"/>
          <w:szCs w:val="24"/>
          <w:lang w:val="pt-BR"/>
        </w:rPr>
        <w:t>1630/QĐ-TTg ngày 28/9/2021 của Thủ tướng Chính phủ...</w:t>
      </w:r>
    </w:p>
    <w:p w14:paraId="538FA73A" w14:textId="5F4318DF" w:rsidR="00B725EF" w:rsidRPr="004F24F9" w:rsidRDefault="00B725EF" w:rsidP="00483C6A">
      <w:pPr>
        <w:pStyle w:val="BodyText3"/>
        <w:spacing w:after="0" w:line="320" w:lineRule="exact"/>
        <w:ind w:firstLine="397"/>
        <w:rPr>
          <w:rFonts w:cs="Times New Roman"/>
          <w:spacing w:val="-2"/>
          <w:sz w:val="24"/>
          <w:szCs w:val="24"/>
          <w:lang w:val="pt-BR"/>
        </w:rPr>
      </w:pPr>
      <w:r w:rsidRPr="004F24F9">
        <w:rPr>
          <w:rFonts w:cs="Times New Roman"/>
          <w:spacing w:val="-2"/>
          <w:sz w:val="24"/>
          <w:szCs w:val="24"/>
          <w:lang w:val="pt-BR"/>
        </w:rPr>
        <w:t xml:space="preserve">Cụ thể hóa chủ trương, chính sách của Trung ương, Tỉnh ủy, UBND tỉnh Đồng Nai cũng xây dựng nhiều chính sách quan tâm đến đến người nghèo, người có hoàn cảnh khó khăn, như: Chỉ thị số 14-CT/TU ngày 12/10/2021 của Ban Thường vụ Tỉnh ủy, Kế hoạch số </w:t>
      </w:r>
      <w:r w:rsidRPr="004F24F9">
        <w:rPr>
          <w:rFonts w:cs="Times New Roman"/>
          <w:spacing w:val="-2"/>
          <w:sz w:val="24"/>
          <w:szCs w:val="24"/>
          <w:lang w:val="pt-BR"/>
        </w:rPr>
        <w:lastRenderedPageBreak/>
        <w:t>15598/KH-UBND ngày 15/12/2021 của UBND tỉnh về tiếp tục thực hiện Chỉ thị 40-CT/TW ngày 22/11/2014 của Ban Bí thư Trung ương Đảng về tăng cường sự lãnh đạo của Đảng đối với tín dụng chính sách xã hội…</w:t>
      </w:r>
    </w:p>
    <w:p w14:paraId="490F439F" w14:textId="6BEE2FB4" w:rsidR="00B725EF" w:rsidRPr="004F24F9" w:rsidRDefault="00B725EF" w:rsidP="00483C6A">
      <w:pPr>
        <w:pStyle w:val="BodyText3"/>
        <w:spacing w:after="0" w:line="320" w:lineRule="exact"/>
        <w:ind w:firstLine="397"/>
        <w:rPr>
          <w:rFonts w:cs="Times New Roman"/>
          <w:bCs/>
          <w:sz w:val="24"/>
          <w:szCs w:val="24"/>
          <w:lang w:val="pt-BR"/>
        </w:rPr>
      </w:pPr>
      <w:r w:rsidRPr="004F24F9">
        <w:rPr>
          <w:rFonts w:cs="Times New Roman"/>
          <w:spacing w:val="-2"/>
          <w:sz w:val="24"/>
          <w:szCs w:val="24"/>
          <w:lang w:val="pt-BR"/>
        </w:rPr>
        <w:t xml:space="preserve">Nhờ sự quan tâm đó của Đảng và Nhà nước các cấp, hoạt động tín dụng chính sách xã hội ở Đồng Nai ngày càng có hiệu quả. Nhiều hộ nghèo và các đối tượng chính sách được vay vốn với lãi xuất ưu đãi để tự tổ chức kinh doanh, ổn định cuộc sống, cụ thể: </w:t>
      </w:r>
      <w:r w:rsidRPr="004F24F9">
        <w:rPr>
          <w:rFonts w:cs="Times New Roman"/>
          <w:sz w:val="24"/>
          <w:szCs w:val="24"/>
          <w:lang w:val="pt-BR"/>
        </w:rPr>
        <w:t>Nguồn v</w:t>
      </w:r>
      <w:r w:rsidRPr="004F24F9">
        <w:rPr>
          <w:rFonts w:cs="Times New Roman"/>
          <w:bCs/>
          <w:sz w:val="24"/>
          <w:szCs w:val="24"/>
          <w:lang w:val="pt-BR"/>
        </w:rPr>
        <w:t>ốn tín dụng chính sách xã hội đã tạ</w:t>
      </w:r>
      <w:r w:rsidR="00613C82" w:rsidRPr="004F24F9">
        <w:rPr>
          <w:rFonts w:cs="Times New Roman"/>
          <w:bCs/>
          <w:sz w:val="24"/>
          <w:szCs w:val="24"/>
          <w:lang w:val="pt-BR"/>
        </w:rPr>
        <w:t>o</w:t>
      </w:r>
      <w:r w:rsidRPr="004F24F9">
        <w:rPr>
          <w:rFonts w:cs="Times New Roman"/>
          <w:bCs/>
          <w:sz w:val="24"/>
          <w:szCs w:val="24"/>
          <w:lang w:val="pt-BR"/>
        </w:rPr>
        <w:t xml:space="preserve"> điều kiện giúp 48.632</w:t>
      </w:r>
      <w:r w:rsidRPr="004F24F9">
        <w:rPr>
          <w:rFonts w:cs="Times New Roman"/>
          <w:sz w:val="24"/>
          <w:szCs w:val="24"/>
          <w:lang w:val="pt-BR"/>
        </w:rPr>
        <w:t xml:space="preserve"> </w:t>
      </w:r>
      <w:r w:rsidRPr="004F24F9">
        <w:rPr>
          <w:rFonts w:cs="Times New Roman"/>
          <w:bCs/>
          <w:sz w:val="24"/>
          <w:szCs w:val="24"/>
          <w:lang w:val="pt-BR"/>
        </w:rPr>
        <w:t>hộ nghèo, hộ cận nghèo và các đối tượng chính sách khác vay số tiền hơn 2.029.310</w:t>
      </w:r>
      <w:r w:rsidRPr="004F24F9">
        <w:rPr>
          <w:rFonts w:cs="Times New Roman"/>
          <w:sz w:val="24"/>
          <w:szCs w:val="24"/>
          <w:lang w:val="pt-BR"/>
        </w:rPr>
        <w:t xml:space="preserve"> triệu đồng</w:t>
      </w:r>
      <w:r w:rsidRPr="004F24F9">
        <w:rPr>
          <w:rFonts w:cs="Times New Roman"/>
          <w:bCs/>
          <w:sz w:val="24"/>
          <w:szCs w:val="24"/>
          <w:lang w:val="pt-BR"/>
        </w:rPr>
        <w:t xml:space="preserve"> để tổ chức sản xuất kinh doanh, phục vụ nhu cầu thiết yếu, </w:t>
      </w:r>
      <w:r w:rsidRPr="004F24F9">
        <w:rPr>
          <w:rFonts w:cs="Times New Roman"/>
          <w:sz w:val="24"/>
          <w:szCs w:val="24"/>
          <w:lang w:val="pt-BR"/>
        </w:rPr>
        <w:t>tạo việc làm, cải thiện thu nhập và điều kiện sống</w:t>
      </w:r>
      <w:r w:rsidRPr="004F24F9">
        <w:rPr>
          <w:rFonts w:cs="Times New Roman"/>
          <w:bCs/>
          <w:sz w:val="24"/>
          <w:szCs w:val="24"/>
          <w:lang w:val="pt-BR"/>
        </w:rPr>
        <w:t xml:space="preserve">. Qua đó, góp phần cùng với các giải pháp của các cấp, các ngành duy trì và tạo việc làm mới cho 22.416 lao động; góp phần giúp </w:t>
      </w:r>
      <w:r w:rsidRPr="004F24F9">
        <w:rPr>
          <w:rFonts w:cs="Times New Roman"/>
          <w:sz w:val="24"/>
          <w:szCs w:val="24"/>
          <w:lang w:val="pt-BR"/>
        </w:rPr>
        <w:t>2.691</w:t>
      </w:r>
      <w:r w:rsidR="00613C82" w:rsidRPr="004F24F9">
        <w:rPr>
          <w:rFonts w:cs="Times New Roman"/>
          <w:sz w:val="24"/>
          <w:szCs w:val="24"/>
          <w:lang w:val="pt-BR"/>
        </w:rPr>
        <w:t xml:space="preserve"> </w:t>
      </w:r>
      <w:r w:rsidRPr="004F24F9">
        <w:rPr>
          <w:rFonts w:cs="Times New Roman"/>
          <w:bCs/>
          <w:sz w:val="24"/>
          <w:szCs w:val="24"/>
          <w:lang w:val="pt-BR"/>
        </w:rPr>
        <w:t>hộ nghèo, hộ cận nghèo vượt ngưỡng nghèo; giúp 18.805 hộ gia đình khu vực nông thôn xây dựng, cải tạo 18.805 công trình nước sạch và 18.578 công trình nhà vệ sinh; 5.172 lượt học sinh, sinh viên có hoàn cảnh khó khăn vay vốn phục vụ học tập. Vốn tín dụng ưu đãi đã góp phần tích cực cùng các cấp, các ngành thực hiện hiệu quả các chương trình mục tiêu quốc gia về giảm nghèo bền vững, xây dựng nông thôn nâng cao, nông thôn mới kiểu mẫu, phục hồi và phát triển kinh tế - xã hội, đảm bảo an sinh xã hội, trật tự an toàn xã hội trên địa bàn tỉnh.</w:t>
      </w:r>
    </w:p>
    <w:p w14:paraId="69A205A6" w14:textId="1DBEA411" w:rsidR="00B725EF" w:rsidRPr="004F24F9" w:rsidRDefault="00B725EF" w:rsidP="00483C6A">
      <w:pPr>
        <w:spacing w:line="320" w:lineRule="exact"/>
        <w:ind w:firstLine="397"/>
        <w:jc w:val="both"/>
        <w:rPr>
          <w:rFonts w:eastAsia="Calibri" w:cs="Times New Roman"/>
          <w:spacing w:val="-2"/>
          <w:sz w:val="24"/>
          <w:szCs w:val="24"/>
          <w:lang w:val="pt-BR"/>
        </w:rPr>
      </w:pPr>
      <w:r w:rsidRPr="004F24F9">
        <w:rPr>
          <w:rFonts w:eastAsia="Calibri" w:cs="Times New Roman"/>
          <w:spacing w:val="-2"/>
          <w:sz w:val="24"/>
          <w:szCs w:val="24"/>
          <w:lang w:val="pt-BR"/>
        </w:rPr>
        <w:t xml:space="preserve">Với nhiều chính sách, giải pháp đồng bộ của trung ương và của tỉnh, hộ nghèo, </w:t>
      </w:r>
      <w:r w:rsidRPr="004F24F9">
        <w:rPr>
          <w:rFonts w:eastAsia="Calibri" w:cs="Times New Roman"/>
          <w:spacing w:val="-2"/>
          <w:sz w:val="24"/>
          <w:szCs w:val="24"/>
          <w:lang w:val="pt-BR"/>
        </w:rPr>
        <w:lastRenderedPageBreak/>
        <w:t xml:space="preserve">hộ cận nghèo có xu hướng giảm dần, trở thành những hộ có thu nhập trung bình. Tuy nhiên, nhiều hộ nghèo, hộ cận nghèo thoát nghèo nhưng chưa thực sự bền vững, việc làm, thu nhập chưa ổn định, nguy cơ tái nghèo cao; các hộ có thu nhập trung bình, lao động nông thôn, đặc biệt là lao động sau đào tạo nghề, bộ đội xuất ngũ, lao động thiếu/mất việc làm do ảnh hưởng bởi hậu đại dịch </w:t>
      </w:r>
      <w:r w:rsidR="00613C82" w:rsidRPr="004F24F9">
        <w:rPr>
          <w:rFonts w:eastAsia="Calibri" w:cs="Times New Roman"/>
          <w:spacing w:val="-2"/>
          <w:sz w:val="24"/>
          <w:szCs w:val="24"/>
          <w:lang w:val="pt-BR"/>
        </w:rPr>
        <w:t>COVID</w:t>
      </w:r>
      <w:r w:rsidRPr="004F24F9">
        <w:rPr>
          <w:rFonts w:eastAsia="Calibri" w:cs="Times New Roman"/>
          <w:spacing w:val="-2"/>
          <w:sz w:val="24"/>
          <w:szCs w:val="24"/>
          <w:lang w:val="pt-BR"/>
        </w:rPr>
        <w:t>-19, khoảng cách giàu nghèo với thành thị ngày càng lớn do quá trình đô thị hóa; nhiều công trình hạ tầng đang được triển khai xây dựng trên địa bàn tỉnh dẫn đến nhiều hộ dân bị giải tỏa trong đó có người lao động, người có thu nhập thấp… Đồng thời thực hiện mục tiêu 10.000 căn nhà ở xã hội từ nay đến hết năm 2025 theo mục tiêu đề ra của Nghị quyết 07-NQ/TU, ngày 22/8/2022 của Tỉnh ủy Đồng Nai. Với tình hình đó, nhu cầu vay vốn chính sách là rất lớn, cần nghiên cứu để tăng thêm nguồn vốn cho vay, nhất là nguồn vốn từ ngân sách tỉnh.</w:t>
      </w:r>
    </w:p>
    <w:p w14:paraId="07BF97CF" w14:textId="3BDED121" w:rsidR="00B725EF" w:rsidRPr="004F24F9" w:rsidRDefault="00B725EF" w:rsidP="00483C6A">
      <w:pPr>
        <w:pStyle w:val="BodyText"/>
        <w:tabs>
          <w:tab w:val="left" w:leader="dot" w:pos="9088"/>
        </w:tabs>
        <w:spacing w:line="320" w:lineRule="exact"/>
        <w:ind w:firstLine="397"/>
        <w:jc w:val="both"/>
        <w:rPr>
          <w:lang w:val="pt-BR" w:eastAsia="vi-VN" w:bidi="vi-VN"/>
        </w:rPr>
      </w:pPr>
      <w:r w:rsidRPr="004F24F9">
        <w:rPr>
          <w:spacing w:val="-2"/>
          <w:lang w:val="pt-BR" w:eastAsia="vi-VN" w:bidi="vi-VN"/>
        </w:rPr>
        <w:t xml:space="preserve">Nhu cầu lớn nhưng nguồn vồn từ Ngân hàng chính sách Việt Nam chưa đáp ứng yêu cầu. Ngân sách của tỉnh chuyển qua </w:t>
      </w:r>
      <w:r w:rsidR="00613C82" w:rsidRPr="004F24F9">
        <w:rPr>
          <w:spacing w:val="-2"/>
          <w:lang w:val="pt-BR" w:eastAsia="vi-VN" w:bidi="vi-VN"/>
        </w:rPr>
        <w:t>C</w:t>
      </w:r>
      <w:r w:rsidRPr="004F24F9">
        <w:rPr>
          <w:spacing w:val="-2"/>
          <w:lang w:val="pt-BR" w:eastAsia="vi-VN" w:bidi="vi-VN"/>
        </w:rPr>
        <w:t xml:space="preserve">hi nhánh </w:t>
      </w:r>
      <w:r w:rsidR="00613C82" w:rsidRPr="004F24F9">
        <w:rPr>
          <w:spacing w:val="-2"/>
          <w:lang w:val="pt-BR" w:eastAsia="vi-VN" w:bidi="vi-VN"/>
        </w:rPr>
        <w:t>N</w:t>
      </w:r>
      <w:r w:rsidRPr="004F24F9">
        <w:rPr>
          <w:spacing w:val="-2"/>
          <w:lang w:val="pt-BR" w:eastAsia="vi-VN" w:bidi="vi-VN"/>
        </w:rPr>
        <w:t xml:space="preserve">gân hàng </w:t>
      </w:r>
      <w:r w:rsidR="00613C82" w:rsidRPr="004F24F9">
        <w:rPr>
          <w:spacing w:val="-2"/>
          <w:lang w:val="pt-BR" w:eastAsia="vi-VN" w:bidi="vi-VN"/>
        </w:rPr>
        <w:t>C</w:t>
      </w:r>
      <w:r w:rsidRPr="004F24F9">
        <w:rPr>
          <w:spacing w:val="-2"/>
          <w:lang w:val="pt-BR" w:eastAsia="vi-VN" w:bidi="vi-VN"/>
        </w:rPr>
        <w:t>hính</w:t>
      </w:r>
      <w:r w:rsidR="00BE4FDD" w:rsidRPr="004F24F9">
        <w:rPr>
          <w:spacing w:val="-2"/>
          <w:lang w:val="pt-BR" w:eastAsia="vi-VN" w:bidi="vi-VN"/>
        </w:rPr>
        <w:t xml:space="preserve"> sách</w:t>
      </w:r>
      <w:r w:rsidRPr="004F24F9">
        <w:rPr>
          <w:spacing w:val="-2"/>
          <w:lang w:val="pt-BR" w:eastAsia="vi-VN" w:bidi="vi-VN"/>
        </w:rPr>
        <w:t xml:space="preserve"> xã hội</w:t>
      </w:r>
      <w:r w:rsidR="00FD4EDD" w:rsidRPr="004F24F9">
        <w:rPr>
          <w:spacing w:val="-2"/>
          <w:lang w:val="vi-VN" w:eastAsia="vi-VN" w:bidi="vi-VN"/>
        </w:rPr>
        <w:t xml:space="preserve"> tỉnh Đồng Nai</w:t>
      </w:r>
      <w:r w:rsidRPr="004F24F9">
        <w:rPr>
          <w:spacing w:val="-2"/>
          <w:lang w:val="pt-BR" w:eastAsia="vi-VN" w:bidi="vi-VN"/>
        </w:rPr>
        <w:t xml:space="preserve"> </w:t>
      </w:r>
      <w:r w:rsidR="00BE4FDD" w:rsidRPr="004F24F9">
        <w:rPr>
          <w:spacing w:val="-2"/>
          <w:lang w:val="pt-BR" w:eastAsia="vi-VN" w:bidi="vi-VN"/>
        </w:rPr>
        <w:t>(NHCSXH</w:t>
      </w:r>
      <w:r w:rsidR="004B4775" w:rsidRPr="004F24F9">
        <w:rPr>
          <w:spacing w:val="-2"/>
          <w:lang w:val="vi-VN" w:eastAsia="vi-VN" w:bidi="vi-VN"/>
        </w:rPr>
        <w:t xml:space="preserve"> tỉnh</w:t>
      </w:r>
      <w:r w:rsidR="00BE4FDD" w:rsidRPr="004F24F9">
        <w:rPr>
          <w:spacing w:val="-2"/>
          <w:lang w:val="pt-BR" w:eastAsia="vi-VN" w:bidi="vi-VN"/>
        </w:rPr>
        <w:t xml:space="preserve">) </w:t>
      </w:r>
      <w:r w:rsidRPr="004F24F9">
        <w:rPr>
          <w:spacing w:val="-2"/>
          <w:lang w:val="pt-BR" w:eastAsia="vi-VN" w:bidi="vi-VN"/>
        </w:rPr>
        <w:t xml:space="preserve">chưa thống nhất, thiếu tính bền vững. Do đó, để thuận lợi hơn trong việc hỗ trợ cho người nghèo, người có hoàn cảnh khó khăn và các gia đình chính sách trong tỉnh, cần nghiên cứu để tìm ra giải pháp tốt nhất trong việc trích một phần ngân sách của tỉnh chuyển qua </w:t>
      </w:r>
      <w:r w:rsidR="004B4775" w:rsidRPr="004F24F9">
        <w:rPr>
          <w:spacing w:val="-2"/>
          <w:lang w:val="pt-BR" w:eastAsia="vi-VN" w:bidi="vi-VN"/>
        </w:rPr>
        <w:t>NHCSXH</w:t>
      </w:r>
      <w:r w:rsidR="004B4775" w:rsidRPr="004F24F9">
        <w:rPr>
          <w:spacing w:val="-2"/>
          <w:lang w:val="vi-VN" w:eastAsia="vi-VN" w:bidi="vi-VN"/>
        </w:rPr>
        <w:t xml:space="preserve"> tỉnh</w:t>
      </w:r>
      <w:r w:rsidR="008F191D" w:rsidRPr="004F24F9">
        <w:rPr>
          <w:spacing w:val="-2"/>
          <w:lang w:val="pt-BR" w:eastAsia="vi-VN" w:bidi="vi-VN"/>
        </w:rPr>
        <w:t>,</w:t>
      </w:r>
      <w:r w:rsidRPr="004F24F9">
        <w:rPr>
          <w:spacing w:val="-2"/>
          <w:lang w:val="pt-BR" w:eastAsia="vi-VN" w:bidi="vi-VN"/>
        </w:rPr>
        <w:t xml:space="preserve"> tạo điều kiện thuận lợi cho các đối tượng vay vốn có cơ hội được tiếp cận nguồn vốn thuận lợi hơn. Vi</w:t>
      </w:r>
      <w:r w:rsidRPr="004F24F9">
        <w:rPr>
          <w:spacing w:val="-2"/>
          <w:lang w:val="vi-VN" w:eastAsia="vi-VN" w:bidi="vi-VN"/>
        </w:rPr>
        <w:t xml:space="preserve">ệc chuyển vốn từ </w:t>
      </w:r>
      <w:r w:rsidRPr="004F24F9">
        <w:rPr>
          <w:spacing w:val="-2"/>
          <w:lang w:val="vi-VN" w:eastAsia="vi-VN" w:bidi="vi-VN"/>
        </w:rPr>
        <w:lastRenderedPageBreak/>
        <w:t xml:space="preserve">ngân sách địa phương ủy thác qua </w:t>
      </w:r>
      <w:r w:rsidR="004B4775" w:rsidRPr="004F24F9">
        <w:rPr>
          <w:spacing w:val="-2"/>
          <w:lang w:val="pt-BR" w:eastAsia="vi-VN" w:bidi="vi-VN"/>
        </w:rPr>
        <w:t>NHCSXH</w:t>
      </w:r>
      <w:r w:rsidR="004B4775" w:rsidRPr="004F24F9">
        <w:rPr>
          <w:spacing w:val="-2"/>
          <w:lang w:val="vi-VN" w:eastAsia="vi-VN" w:bidi="vi-VN"/>
        </w:rPr>
        <w:t xml:space="preserve"> tỉnh</w:t>
      </w:r>
      <w:r w:rsidRPr="004F24F9">
        <w:rPr>
          <w:spacing w:val="-2"/>
          <w:lang w:val="vi-VN" w:eastAsia="vi-VN" w:bidi="vi-VN"/>
        </w:rPr>
        <w:t xml:space="preserve"> để cho vay người nghèo và các đối tượng chính sách </w:t>
      </w:r>
      <w:r w:rsidRPr="004F24F9">
        <w:rPr>
          <w:spacing w:val="-2"/>
          <w:lang w:val="pt-BR" w:eastAsia="vi-VN" w:bidi="vi-VN"/>
        </w:rPr>
        <w:t xml:space="preserve">xã hội </w:t>
      </w:r>
      <w:r w:rsidRPr="004F24F9">
        <w:rPr>
          <w:spacing w:val="-2"/>
          <w:lang w:val="vi-VN" w:eastAsia="vi-VN" w:bidi="vi-VN"/>
        </w:rPr>
        <w:t xml:space="preserve">được </w:t>
      </w:r>
      <w:r w:rsidRPr="004F24F9">
        <w:rPr>
          <w:spacing w:val="-2"/>
          <w:lang w:val="pt-BR" w:eastAsia="vi-VN" w:bidi="vi-VN"/>
        </w:rPr>
        <w:t>xem</w:t>
      </w:r>
      <w:r w:rsidRPr="004F24F9">
        <w:rPr>
          <w:spacing w:val="-2"/>
          <w:lang w:val="vi-VN" w:eastAsia="vi-VN" w:bidi="vi-VN"/>
        </w:rPr>
        <w:t xml:space="preserve"> là một trong những giải pháp quan trọng, </w:t>
      </w:r>
      <w:r w:rsidRPr="004F24F9">
        <w:rPr>
          <w:spacing w:val="-2"/>
          <w:lang w:val="pt-BR" w:eastAsia="vi-VN" w:bidi="vi-VN"/>
        </w:rPr>
        <w:t xml:space="preserve">góp phần thiết thực </w:t>
      </w:r>
      <w:r w:rsidRPr="004F24F9">
        <w:rPr>
          <w:spacing w:val="-2"/>
          <w:lang w:val="vi-VN" w:eastAsia="vi-VN" w:bidi="vi-VN"/>
        </w:rPr>
        <w:t>trong thực hiện các chương trình mục tiêu quốc gia về giảm nghèo bền vững, xây dựng nông thôn mới nâng cao, nông thôn mới kiểu mẫu và đảm bảo an sinh xã hội</w:t>
      </w:r>
      <w:r w:rsidRPr="004F24F9">
        <w:rPr>
          <w:spacing w:val="-2"/>
          <w:lang w:val="pt-BR" w:eastAsia="vi-VN" w:bidi="vi-VN"/>
        </w:rPr>
        <w:t>. Để thực hiện tốt hơn nữa chính sách xóa đói, giảm nghèo, nâng cao mức sống người dân, việc nghiên cứu thực trạng, tổng kết những đặc điểm về tăng nguồn vốn chính sách cho vay là cần thiết</w:t>
      </w:r>
      <w:r w:rsidRPr="004F24F9">
        <w:rPr>
          <w:lang w:val="pt-BR" w:eastAsia="vi-VN" w:bidi="vi-VN"/>
        </w:rPr>
        <w:t xml:space="preserve">. </w:t>
      </w:r>
    </w:p>
    <w:p w14:paraId="5C2FA641" w14:textId="62BA93B6" w:rsidR="00B725EF" w:rsidRPr="004F24F9" w:rsidRDefault="00B725EF" w:rsidP="00483C6A">
      <w:pPr>
        <w:pStyle w:val="BodyText"/>
        <w:tabs>
          <w:tab w:val="left" w:leader="dot" w:pos="9088"/>
        </w:tabs>
        <w:spacing w:line="320" w:lineRule="exact"/>
        <w:ind w:firstLine="397"/>
        <w:jc w:val="both"/>
        <w:rPr>
          <w:lang w:val="pt-BR" w:eastAsia="vi-VN" w:bidi="vi-VN"/>
        </w:rPr>
      </w:pPr>
      <w:r w:rsidRPr="004F24F9">
        <w:rPr>
          <w:lang w:val="pt-BR" w:eastAsia="vi-VN" w:bidi="vi-VN"/>
        </w:rPr>
        <w:t>Mục tiêu nghiên cứu là tổng hợp, phân tích thực trạng tăng trưởng nguồn vốn ủy thác từ ngân sá</w:t>
      </w:r>
      <w:r w:rsidR="008F191D" w:rsidRPr="004F24F9">
        <w:rPr>
          <w:lang w:val="pt-BR" w:eastAsia="vi-VN" w:bidi="vi-VN"/>
        </w:rPr>
        <w:t>ch đ</w:t>
      </w:r>
      <w:r w:rsidRPr="004F24F9">
        <w:rPr>
          <w:lang w:val="pt-BR" w:eastAsia="vi-VN" w:bidi="vi-VN"/>
        </w:rPr>
        <w:t>ịa phương để cho vay người nghèo và các đối tượng chính sách khác trên địa bàn tỉnh Đồng Nai. Từ thực trạng, nghiên cứu này cũng góp phần chỉ ra một số đặc điểm cơ bản của của quá trình tăng trưởng nguồn vốn tại Chi nhánh ngân hàng chính sách xã hội tỉnh Đồng Nai.</w:t>
      </w:r>
    </w:p>
    <w:p w14:paraId="303A7C37" w14:textId="5F9AFA4D" w:rsidR="005A6C2E" w:rsidRPr="004F24F9" w:rsidRDefault="005A6C2E" w:rsidP="00483C6A">
      <w:pPr>
        <w:spacing w:line="320" w:lineRule="exact"/>
        <w:ind w:firstLine="397"/>
        <w:jc w:val="both"/>
        <w:rPr>
          <w:b/>
          <w:sz w:val="24"/>
          <w:szCs w:val="24"/>
          <w:lang w:val="en-US"/>
        </w:rPr>
      </w:pPr>
      <w:r w:rsidRPr="004F24F9">
        <w:rPr>
          <w:sz w:val="24"/>
          <w:szCs w:val="24"/>
          <w:lang w:eastAsia="vi-VN" w:bidi="vi-VN"/>
        </w:rPr>
        <w:t xml:space="preserve">Nghiên cứu về nguồn vốn ủy thác cũng là </w:t>
      </w:r>
      <w:r w:rsidR="008F191D" w:rsidRPr="004F24F9">
        <w:rPr>
          <w:sz w:val="24"/>
          <w:szCs w:val="24"/>
          <w:lang w:val="en-US" w:eastAsia="vi-VN" w:bidi="vi-VN"/>
        </w:rPr>
        <w:t>được</w:t>
      </w:r>
      <w:r w:rsidRPr="004F24F9">
        <w:rPr>
          <w:sz w:val="24"/>
          <w:szCs w:val="24"/>
          <w:lang w:eastAsia="vi-VN" w:bidi="vi-VN"/>
        </w:rPr>
        <w:t xml:space="preserve"> các nhà nghiên cứu</w:t>
      </w:r>
      <w:r w:rsidR="008F191D" w:rsidRPr="004F24F9">
        <w:rPr>
          <w:sz w:val="24"/>
          <w:szCs w:val="24"/>
          <w:lang w:val="en-US" w:eastAsia="vi-VN" w:bidi="vi-VN"/>
        </w:rPr>
        <w:t xml:space="preserve"> quan tâm</w:t>
      </w:r>
      <w:r w:rsidRPr="004F24F9">
        <w:rPr>
          <w:sz w:val="24"/>
          <w:szCs w:val="24"/>
          <w:lang w:eastAsia="vi-VN" w:bidi="vi-VN"/>
        </w:rPr>
        <w:t xml:space="preserve">, nhất là các ngân hàng chính sách nhằm đưa ra những giải pháp để tăng nguồn vốn cho vạy. Một số đề tài có thể kể đến như: </w:t>
      </w:r>
      <w:r w:rsidR="008F191D" w:rsidRPr="004F24F9">
        <w:rPr>
          <w:sz w:val="24"/>
          <w:szCs w:val="24"/>
          <w:lang w:val="en-US" w:eastAsia="vi-VN" w:bidi="vi-VN"/>
        </w:rPr>
        <w:t>“</w:t>
      </w:r>
      <w:r w:rsidRPr="004F24F9">
        <w:rPr>
          <w:sz w:val="24"/>
          <w:szCs w:val="24"/>
        </w:rPr>
        <w:t>Giải pháp đẩy mạnh công tác huy động nguồn vốn để thực hiện tín tín dụng chính sách xã hội trên địa bàn thành phố Cần Thơ</w:t>
      </w:r>
      <w:r w:rsidR="008F191D" w:rsidRPr="004F24F9">
        <w:rPr>
          <w:sz w:val="24"/>
          <w:szCs w:val="24"/>
          <w:lang w:val="en-US"/>
        </w:rPr>
        <w:t>”</w:t>
      </w:r>
      <w:r w:rsidRPr="004F24F9">
        <w:rPr>
          <w:sz w:val="24"/>
          <w:szCs w:val="24"/>
        </w:rPr>
        <w:t xml:space="preserve">; </w:t>
      </w:r>
      <w:r w:rsidR="008F191D" w:rsidRPr="004F24F9">
        <w:rPr>
          <w:sz w:val="24"/>
          <w:szCs w:val="24"/>
          <w:lang w:val="en-US"/>
        </w:rPr>
        <w:t>“</w:t>
      </w:r>
      <w:r w:rsidRPr="004F24F9">
        <w:rPr>
          <w:sz w:val="24"/>
          <w:szCs w:val="24"/>
        </w:rPr>
        <w:t xml:space="preserve">Giải pháp tăng cường công tác huy động nguồn vốn tại tại </w:t>
      </w:r>
      <w:r w:rsidR="00FD4EDD" w:rsidRPr="004F24F9">
        <w:rPr>
          <w:sz w:val="24"/>
          <w:szCs w:val="24"/>
        </w:rPr>
        <w:t>C</w:t>
      </w:r>
      <w:r w:rsidRPr="004F24F9">
        <w:rPr>
          <w:sz w:val="24"/>
          <w:szCs w:val="24"/>
        </w:rPr>
        <w:t>hi nhánh</w:t>
      </w:r>
      <w:r w:rsidR="00FD4EDD" w:rsidRPr="004F24F9">
        <w:rPr>
          <w:sz w:val="24"/>
          <w:szCs w:val="24"/>
        </w:rPr>
        <w:t xml:space="preserve"> Ngân hàng chính sách xã hội</w:t>
      </w:r>
      <w:r w:rsidRPr="004F24F9">
        <w:rPr>
          <w:sz w:val="24"/>
          <w:szCs w:val="24"/>
        </w:rPr>
        <w:t xml:space="preserve"> tỉnh Bình Định</w:t>
      </w:r>
      <w:r w:rsidR="008F191D" w:rsidRPr="004F24F9">
        <w:rPr>
          <w:sz w:val="24"/>
          <w:szCs w:val="24"/>
          <w:lang w:val="en-US"/>
        </w:rPr>
        <w:t>”</w:t>
      </w:r>
      <w:r w:rsidRPr="004F24F9">
        <w:rPr>
          <w:sz w:val="24"/>
          <w:szCs w:val="24"/>
        </w:rPr>
        <w:t xml:space="preserve">; </w:t>
      </w:r>
      <w:r w:rsidR="008F191D" w:rsidRPr="004F24F9">
        <w:rPr>
          <w:sz w:val="24"/>
          <w:szCs w:val="24"/>
          <w:lang w:val="en-US"/>
        </w:rPr>
        <w:t>c</w:t>
      </w:r>
      <w:r w:rsidRPr="004F24F9">
        <w:rPr>
          <w:sz w:val="24"/>
          <w:szCs w:val="24"/>
        </w:rPr>
        <w:t xml:space="preserve">ác bài báo khoa học có liên quan đến tăng trưởng nguồn vốn tín dụng chính sách… </w:t>
      </w:r>
      <w:r w:rsidR="008F191D" w:rsidRPr="004F24F9">
        <w:rPr>
          <w:sz w:val="24"/>
          <w:szCs w:val="24"/>
          <w:lang w:val="en-US"/>
        </w:rPr>
        <w:t xml:space="preserve">Tuy nhiên, </w:t>
      </w:r>
      <w:r w:rsidRPr="004F24F9">
        <w:rPr>
          <w:sz w:val="24"/>
          <w:szCs w:val="24"/>
        </w:rPr>
        <w:t xml:space="preserve">chưa có </w:t>
      </w:r>
      <w:r w:rsidR="008F191D" w:rsidRPr="004F24F9">
        <w:rPr>
          <w:sz w:val="24"/>
          <w:szCs w:val="24"/>
          <w:lang w:val="en-US"/>
        </w:rPr>
        <w:t>bài viết</w:t>
      </w:r>
      <w:r w:rsidRPr="004F24F9">
        <w:rPr>
          <w:sz w:val="24"/>
          <w:szCs w:val="24"/>
        </w:rPr>
        <w:t xml:space="preserve"> nào nghiên cứu về </w:t>
      </w:r>
      <w:r w:rsidRPr="004F24F9">
        <w:rPr>
          <w:rStyle w:val="Bodytext2Bold"/>
          <w:rFonts w:eastAsiaTheme="minorHAnsi"/>
          <w:b w:val="0"/>
          <w:iCs/>
          <w:color w:val="auto"/>
          <w:sz w:val="24"/>
          <w:szCs w:val="24"/>
        </w:rPr>
        <w:lastRenderedPageBreak/>
        <w:t>nguồn vốn ủy thác từ ngân sách địa phương để cho vay người nghèo và các đối tượng chính sách khác trên địa bàn tỉnh Đồng Nai.</w:t>
      </w:r>
    </w:p>
    <w:p w14:paraId="2B0A0573" w14:textId="20917552" w:rsidR="00B725EF" w:rsidRPr="004F24F9" w:rsidRDefault="00B725EF" w:rsidP="00483C6A">
      <w:pPr>
        <w:spacing w:line="320" w:lineRule="exact"/>
        <w:ind w:firstLine="397"/>
        <w:jc w:val="both"/>
        <w:rPr>
          <w:rFonts w:eastAsia="Calibri" w:cs="Times New Roman"/>
          <w:spacing w:val="-2"/>
          <w:sz w:val="26"/>
          <w:szCs w:val="26"/>
          <w:lang w:val="fr-FR"/>
        </w:rPr>
      </w:pPr>
      <w:r w:rsidRPr="004F24F9">
        <w:rPr>
          <w:rFonts w:eastAsia="Calibri" w:cs="Times New Roman"/>
          <w:spacing w:val="-2"/>
          <w:sz w:val="24"/>
          <w:szCs w:val="24"/>
          <w:lang w:val="pt-BR"/>
        </w:rPr>
        <w:t xml:space="preserve">Phương pháp nghiên cứu cơ bản </w:t>
      </w:r>
      <w:r w:rsidR="008F191D" w:rsidRPr="004F24F9">
        <w:rPr>
          <w:rFonts w:eastAsia="Calibri" w:cs="Times New Roman"/>
          <w:spacing w:val="-2"/>
          <w:sz w:val="24"/>
          <w:szCs w:val="24"/>
          <w:lang w:val="pt-BR"/>
        </w:rPr>
        <w:t xml:space="preserve">được nhóm tác giả sử dụng </w:t>
      </w:r>
      <w:r w:rsidRPr="004F24F9">
        <w:rPr>
          <w:rFonts w:eastAsia="Calibri" w:cs="Times New Roman"/>
          <w:spacing w:val="-2"/>
          <w:sz w:val="24"/>
          <w:szCs w:val="24"/>
          <w:lang w:val="pt-BR"/>
        </w:rPr>
        <w:t xml:space="preserve">gồm có: phương pháp lịch sử; phương pháp logic; phương pháp phân tích, đánh giá, tổng hợp số liệu; phương pháp thống kê; phương pháp khảo sát. </w:t>
      </w:r>
      <w:r w:rsidRPr="004F24F9">
        <w:rPr>
          <w:rFonts w:eastAsia="Calibri" w:cs="Times New Roman"/>
          <w:spacing w:val="-2"/>
          <w:sz w:val="24"/>
          <w:szCs w:val="24"/>
          <w:lang w:val="fr-FR"/>
        </w:rPr>
        <w:t>Với các phương pháp nghiên cứ</w:t>
      </w:r>
      <w:r w:rsidR="008F191D" w:rsidRPr="004F24F9">
        <w:rPr>
          <w:rFonts w:eastAsia="Calibri" w:cs="Times New Roman"/>
          <w:spacing w:val="-2"/>
          <w:sz w:val="24"/>
          <w:szCs w:val="24"/>
          <w:lang w:val="fr-FR"/>
        </w:rPr>
        <w:t xml:space="preserve">u này, bài viết </w:t>
      </w:r>
      <w:r w:rsidRPr="004F24F9">
        <w:rPr>
          <w:rFonts w:eastAsia="Calibri" w:cs="Times New Roman"/>
          <w:spacing w:val="-2"/>
          <w:sz w:val="24"/>
          <w:szCs w:val="24"/>
          <w:lang w:val="fr-FR"/>
        </w:rPr>
        <w:t>góp phần đánh giá thực trạng sự tăng trưởng nguồn vốn ủy thác từ ngân sách tỉnh Đồng Nai để hỗ trợ cho người nghèo và các đối tượng chính sách khác trên địa bàn tỉnh.</w:t>
      </w:r>
    </w:p>
    <w:p w14:paraId="1057CDB0" w14:textId="77777777" w:rsidR="009E4C91" w:rsidRPr="004F24F9" w:rsidRDefault="009E4C91" w:rsidP="00544ACE">
      <w:pPr>
        <w:spacing w:line="320" w:lineRule="exact"/>
        <w:jc w:val="both"/>
        <w:rPr>
          <w:rFonts w:eastAsia="Calibri" w:cs="Times New Roman"/>
          <w:b/>
          <w:spacing w:val="-2"/>
          <w:sz w:val="24"/>
          <w:szCs w:val="24"/>
          <w:lang w:val="fr-FR"/>
        </w:rPr>
      </w:pPr>
      <w:r w:rsidRPr="004F24F9">
        <w:rPr>
          <w:rFonts w:eastAsia="Calibri" w:cs="Times New Roman"/>
          <w:b/>
          <w:spacing w:val="-2"/>
          <w:sz w:val="24"/>
          <w:szCs w:val="24"/>
          <w:lang w:val="fr-FR"/>
        </w:rPr>
        <w:t>2. Nội dung nghiên cứu</w:t>
      </w:r>
    </w:p>
    <w:p w14:paraId="137A885F" w14:textId="77777777" w:rsidR="009E4C91" w:rsidRPr="004F24F9" w:rsidRDefault="009E4C91" w:rsidP="00544ACE">
      <w:pPr>
        <w:spacing w:line="320" w:lineRule="exact"/>
        <w:jc w:val="both"/>
        <w:outlineLvl w:val="0"/>
        <w:rPr>
          <w:rFonts w:cs="Times New Roman"/>
          <w:b/>
          <w:i/>
          <w:sz w:val="24"/>
          <w:szCs w:val="24"/>
        </w:rPr>
      </w:pPr>
      <w:bookmarkStart w:id="2" w:name="_Toc184938619"/>
      <w:r w:rsidRPr="004F24F9">
        <w:rPr>
          <w:rFonts w:cs="Times New Roman"/>
          <w:b/>
          <w:i/>
          <w:sz w:val="24"/>
          <w:szCs w:val="24"/>
        </w:rPr>
        <w:t>2.1. Một số khái niệm liên quan đến tín dụng chính sách xã hội</w:t>
      </w:r>
      <w:bookmarkEnd w:id="2"/>
    </w:p>
    <w:p w14:paraId="5ECE5729" w14:textId="03D0C7C8" w:rsidR="009E4C91" w:rsidRPr="004F24F9" w:rsidRDefault="009E4C91" w:rsidP="00544ACE">
      <w:pPr>
        <w:spacing w:line="320" w:lineRule="exact"/>
        <w:ind w:firstLine="397"/>
        <w:jc w:val="both"/>
        <w:rPr>
          <w:sz w:val="24"/>
          <w:szCs w:val="24"/>
        </w:rPr>
      </w:pPr>
      <w:r w:rsidRPr="004F24F9">
        <w:rPr>
          <w:sz w:val="24"/>
          <w:szCs w:val="24"/>
        </w:rPr>
        <w:t> </w:t>
      </w:r>
      <w:r w:rsidR="00FD4EDD" w:rsidRPr="004F24F9">
        <w:rPr>
          <w:sz w:val="24"/>
          <w:szCs w:val="24"/>
        </w:rPr>
        <w:t>Ngân hàng chính sách xã hội</w:t>
      </w:r>
      <w:r w:rsidRPr="004F24F9">
        <w:rPr>
          <w:sz w:val="24"/>
          <w:szCs w:val="24"/>
        </w:rPr>
        <w:t xml:space="preserve"> là ngân hàng chính sách do Thủ tướng Chính phủ thành lập và hoạt động không vì mục tiêu lợi nhuận nhằm thực hiện nhiệm vụ tín dụng chính sách xã hội của Nhà nước. Ngân hàng Chính sách xã hội có tư cách pháp nhân, có con dấu, được mở tài khoản tiền gửi và thực hiện các dịch vụ ngân hàng về thanh toán và ngân quỹ theo quy định của Ngân hàng Nhà nước Việt Nam và quy định của pháp luật có liên quan. Vốn điều lệ do ngân sách nhà nước cấp và được bổ sung từ ngân sách nhà nước, các nguồn tài chính hợp pháp khác.</w:t>
      </w:r>
    </w:p>
    <w:p w14:paraId="2CF2B802" w14:textId="60B3FA63" w:rsidR="009E4C91" w:rsidRPr="004F24F9" w:rsidRDefault="009E4C91" w:rsidP="00544ACE">
      <w:pPr>
        <w:spacing w:line="320" w:lineRule="exact"/>
        <w:ind w:firstLine="397"/>
        <w:jc w:val="both"/>
        <w:rPr>
          <w:rFonts w:cs="Times New Roman"/>
          <w:sz w:val="24"/>
          <w:szCs w:val="24"/>
          <w:shd w:val="clear" w:color="auto" w:fill="FFFFFF"/>
        </w:rPr>
      </w:pPr>
      <w:r w:rsidRPr="004F24F9">
        <w:rPr>
          <w:rFonts w:cs="Times New Roman"/>
          <w:sz w:val="24"/>
          <w:szCs w:val="24"/>
          <w:shd w:val="clear" w:color="auto" w:fill="FFFFFF"/>
        </w:rPr>
        <w:t xml:space="preserve">Tín dụng đối với người nghèo và các đối tượng chính sách khác là việc sử dụng các nguồn lực tài chính do Nhà nước huy động để </w:t>
      </w:r>
      <w:r w:rsidR="008F191D" w:rsidRPr="004F24F9">
        <w:rPr>
          <w:rFonts w:cs="Times New Roman"/>
          <w:sz w:val="24"/>
          <w:szCs w:val="24"/>
          <w:shd w:val="clear" w:color="auto" w:fill="FFFFFF"/>
          <w:lang w:val="en-US"/>
        </w:rPr>
        <w:t xml:space="preserve">cho </w:t>
      </w:r>
      <w:r w:rsidRPr="004F24F9">
        <w:rPr>
          <w:rFonts w:cs="Times New Roman"/>
          <w:sz w:val="24"/>
          <w:szCs w:val="24"/>
          <w:shd w:val="clear" w:color="auto" w:fill="FFFFFF"/>
        </w:rPr>
        <w:t xml:space="preserve">người nghèo và các đối tượng chính sách khác vay ưu đãi phục vụ sản xuất, kinh doanh, tạo việc </w:t>
      </w:r>
      <w:r w:rsidRPr="004F24F9">
        <w:rPr>
          <w:rFonts w:cs="Times New Roman"/>
          <w:sz w:val="24"/>
          <w:szCs w:val="24"/>
          <w:shd w:val="clear" w:color="auto" w:fill="FFFFFF"/>
        </w:rPr>
        <w:lastRenderedPageBreak/>
        <w:t>làm, cải thiện đời sống; góp phần thực hiện Chương trình mục tiêu quốc gia xóa đói, giảm nghèo, ổn định xã hội</w:t>
      </w:r>
      <w:sdt>
        <w:sdtPr>
          <w:rPr>
            <w:rFonts w:cs="Times New Roman"/>
            <w:sz w:val="24"/>
            <w:szCs w:val="24"/>
            <w:shd w:val="clear" w:color="auto" w:fill="FFFFFF"/>
          </w:rPr>
          <w:id w:val="-1216433219"/>
          <w:citation/>
        </w:sdtPr>
        <w:sdtEndPr/>
        <w:sdtContent>
          <w:r w:rsidRPr="004F24F9">
            <w:rPr>
              <w:rFonts w:cs="Times New Roman"/>
              <w:sz w:val="24"/>
              <w:szCs w:val="24"/>
              <w:shd w:val="clear" w:color="auto" w:fill="FFFFFF"/>
            </w:rPr>
            <w:fldChar w:fldCharType="begin"/>
          </w:r>
          <w:r w:rsidRPr="004F24F9">
            <w:rPr>
              <w:rFonts w:cs="Times New Roman"/>
              <w:sz w:val="24"/>
              <w:szCs w:val="24"/>
              <w:shd w:val="clear" w:color="auto" w:fill="FFFFFF"/>
            </w:rPr>
            <w:instrText xml:space="preserve"> CITATION Chí22 \l 1033 </w:instrText>
          </w:r>
          <w:r w:rsidRPr="004F24F9">
            <w:rPr>
              <w:rFonts w:cs="Times New Roman"/>
              <w:sz w:val="24"/>
              <w:szCs w:val="24"/>
              <w:shd w:val="clear" w:color="auto" w:fill="FFFFFF"/>
            </w:rPr>
            <w:fldChar w:fldCharType="separate"/>
          </w:r>
          <w:r w:rsidRPr="004F24F9">
            <w:rPr>
              <w:rFonts w:cs="Times New Roman"/>
              <w:sz w:val="24"/>
              <w:szCs w:val="24"/>
              <w:shd w:val="clear" w:color="auto" w:fill="FFFFFF"/>
            </w:rPr>
            <w:t xml:space="preserve"> (Chính phủ, 2022)</w:t>
          </w:r>
          <w:r w:rsidRPr="004F24F9">
            <w:rPr>
              <w:rFonts w:cs="Times New Roman"/>
              <w:sz w:val="24"/>
              <w:szCs w:val="24"/>
              <w:shd w:val="clear" w:color="auto" w:fill="FFFFFF"/>
            </w:rPr>
            <w:fldChar w:fldCharType="end"/>
          </w:r>
        </w:sdtContent>
      </w:sdt>
      <w:r w:rsidRPr="004F24F9">
        <w:rPr>
          <w:rFonts w:cs="Times New Roman"/>
          <w:sz w:val="24"/>
          <w:szCs w:val="24"/>
          <w:shd w:val="clear" w:color="auto" w:fill="FFFFFF"/>
        </w:rPr>
        <w:t>.</w:t>
      </w:r>
    </w:p>
    <w:p w14:paraId="7689DEB8" w14:textId="24F26CA2" w:rsidR="009E4C91" w:rsidRPr="004F24F9" w:rsidRDefault="009E4C91" w:rsidP="00544ACE">
      <w:pPr>
        <w:spacing w:line="320" w:lineRule="exact"/>
        <w:ind w:firstLine="397"/>
        <w:jc w:val="both"/>
        <w:rPr>
          <w:rFonts w:cs="Times New Roman"/>
          <w:sz w:val="24"/>
          <w:szCs w:val="24"/>
        </w:rPr>
      </w:pPr>
      <w:r w:rsidRPr="004F24F9">
        <w:rPr>
          <w:rFonts w:cs="Times New Roman"/>
          <w:sz w:val="24"/>
          <w:szCs w:val="24"/>
        </w:rPr>
        <w:t>Tín dụng chính sách xã hội</w:t>
      </w:r>
      <w:r w:rsidRPr="004F24F9">
        <w:rPr>
          <w:rFonts w:cs="Times New Roman"/>
          <w:sz w:val="24"/>
          <w:szCs w:val="24"/>
          <w:shd w:val="clear" w:color="auto" w:fill="FFFFFF"/>
        </w:rPr>
        <w:t xml:space="preserve"> là một loại tín dụng mang tính chính sách và là hình thức tín dụng đặc biệt, có những đặc trưng cơ bả</w:t>
      </w:r>
      <w:r w:rsidR="008F191D" w:rsidRPr="004F24F9">
        <w:rPr>
          <w:rFonts w:cs="Times New Roman"/>
          <w:sz w:val="24"/>
          <w:szCs w:val="24"/>
          <w:shd w:val="clear" w:color="auto" w:fill="FFFFFF"/>
        </w:rPr>
        <w:t>n sau</w:t>
      </w:r>
      <w:r w:rsidRPr="004F24F9">
        <w:rPr>
          <w:rFonts w:cs="Times New Roman"/>
          <w:sz w:val="24"/>
          <w:szCs w:val="24"/>
          <w:shd w:val="clear" w:color="auto" w:fill="FFFFFF"/>
        </w:rPr>
        <w:t xml:space="preserve">: không vì mục tiêu lợi nhuận; đối tượng cho vay là người nghèo và các đối tượng chính sách khác theo quy định của Chính phủ, Thủ tướng Chính phủ; nguồn vốn để cho vay chủ yếu từ nguồn ngân sách nhà nước; cơ chế cho vay có tính ưu đãi (như thủ tục cho vay đơn giản, lãi suất thấp, hầu hết chương trình cho vay không phải thế chấp tài sản, có cơ chế xử </w:t>
      </w:r>
      <w:r w:rsidR="005D28C8" w:rsidRPr="004F24F9">
        <w:rPr>
          <w:rFonts w:cs="Times New Roman"/>
          <w:sz w:val="24"/>
          <w:szCs w:val="24"/>
          <w:shd w:val="clear" w:color="auto" w:fill="FFFFFF"/>
        </w:rPr>
        <w:t>lí</w:t>
      </w:r>
      <w:r w:rsidRPr="004F24F9">
        <w:rPr>
          <w:rFonts w:cs="Times New Roman"/>
          <w:sz w:val="24"/>
          <w:szCs w:val="24"/>
          <w:shd w:val="clear" w:color="auto" w:fill="FFFFFF"/>
        </w:rPr>
        <w:t xml:space="preserve"> rủi ro...). Hiện nay, tín dụng chính sách xã hội là một trong những công cụ, giải pháp quan trọng của Đảng và Nhà nước trong thực hiện các chương trình mục tiêu quốc gia về giảm nghèo bền vững, xây dựng nông thôn mới, phát triển kinh tế - xã hội vùng đồng bào dân tộc thiểu số và miền núi,... Tín dụng chính sách xã hội là chủ trương mang tính nhân văn sâu sắ</w:t>
      </w:r>
      <w:r w:rsidR="008F191D" w:rsidRPr="004F24F9">
        <w:rPr>
          <w:rFonts w:cs="Times New Roman"/>
          <w:sz w:val="24"/>
          <w:szCs w:val="24"/>
          <w:shd w:val="clear" w:color="auto" w:fill="FFFFFF"/>
        </w:rPr>
        <w:t xml:space="preserve">c, </w:t>
      </w:r>
      <w:r w:rsidRPr="004F24F9">
        <w:rPr>
          <w:rFonts w:cs="Times New Roman"/>
          <w:sz w:val="24"/>
          <w:szCs w:val="24"/>
          <w:shd w:val="clear" w:color="auto" w:fill="FFFFFF"/>
        </w:rPr>
        <w:t xml:space="preserve">trở thành một “điểm sáng” và là một trong những “trụ cột” trong hệ thống chính sách giảm nghèo, bảo đảm an sinh và an ninh xã hội của Đảng, Nhà nước Việt Nam trong tiến trình đổi mới, thể hiện nổi bật tính ưu việt của nền kinh tế thị trường định hướng xã hội chủ nghĩa. Đây là quyết sách phù hợp với thực tiễn và điều kiện phát triển của Việt Nam, đáp ứng nguyện vọng của nhân dân, đặc biệt là các tầng lớp dân cư có thu nhập thấp, không đủ điều kiện vay vốn ở các ngân hàng thương mại, bảo đảm sinh kế và sự phát </w:t>
      </w:r>
      <w:r w:rsidRPr="004F24F9">
        <w:rPr>
          <w:rFonts w:cs="Times New Roman"/>
          <w:sz w:val="24"/>
          <w:szCs w:val="24"/>
          <w:shd w:val="clear" w:color="auto" w:fill="FFFFFF"/>
        </w:rPr>
        <w:lastRenderedPageBreak/>
        <w:t>triển của người dân. Đến nay, tín dụng xã hội đã được triển khai rộng rãi, sáng tạo, hiệu quả trên toàn quốc, thật sự đi vào cuộc sống, mang lại kết quả thiết thực, được đông đảo nhân dân đồng tình ủng hộ và cộng đồng quốc tế đánh giá cao. Trong nhiều năm qua, nguồn vốn vay tín dụng chính sách xã hội đã mang lại sinh kế, tạo thêm việc làm, cải thiện đời sống người dân, thúc đẩy bình đẳng giới, đồng thời góp phần ngăn chặn hiện tượng cho vay nặng lãi, “tín dụng đen”, giúp bảo đảm an sinh, trật tự, an toàn xã hội tại các địa phương, nhất là ở vùng nông thôn, vùng sâu, vùng xa, biên giới và vùng đồng bào dân tộc thiểu số</w:t>
      </w:r>
      <w:sdt>
        <w:sdtPr>
          <w:rPr>
            <w:rFonts w:cs="Times New Roman"/>
            <w:sz w:val="24"/>
            <w:szCs w:val="24"/>
            <w:shd w:val="clear" w:color="auto" w:fill="FFFFFF"/>
          </w:rPr>
          <w:id w:val="946746930"/>
          <w:citation/>
        </w:sdtPr>
        <w:sdtEndPr/>
        <w:sdtContent>
          <w:r w:rsidRPr="004F24F9">
            <w:rPr>
              <w:rFonts w:cs="Times New Roman"/>
              <w:sz w:val="24"/>
              <w:szCs w:val="24"/>
              <w:shd w:val="clear" w:color="auto" w:fill="FFFFFF"/>
            </w:rPr>
            <w:fldChar w:fldCharType="begin"/>
          </w:r>
          <w:r w:rsidRPr="004F24F9">
            <w:rPr>
              <w:rFonts w:cs="Times New Roman"/>
              <w:sz w:val="24"/>
              <w:szCs w:val="24"/>
              <w:shd w:val="clear" w:color="auto" w:fill="FFFFFF"/>
            </w:rPr>
            <w:instrText xml:space="preserve"> CITATION Ngu23 \l 1033 </w:instrText>
          </w:r>
          <w:r w:rsidRPr="004F24F9">
            <w:rPr>
              <w:rFonts w:cs="Times New Roman"/>
              <w:sz w:val="24"/>
              <w:szCs w:val="24"/>
              <w:shd w:val="clear" w:color="auto" w:fill="FFFFFF"/>
            </w:rPr>
            <w:fldChar w:fldCharType="separate"/>
          </w:r>
          <w:r w:rsidRPr="004F24F9">
            <w:rPr>
              <w:rFonts w:cs="Times New Roman"/>
              <w:sz w:val="24"/>
              <w:szCs w:val="24"/>
              <w:shd w:val="clear" w:color="auto" w:fill="FFFFFF"/>
            </w:rPr>
            <w:t xml:space="preserve"> (Nguyễn Lâm Thành, 2023)</w:t>
          </w:r>
          <w:r w:rsidRPr="004F24F9">
            <w:rPr>
              <w:rFonts w:cs="Times New Roman"/>
              <w:sz w:val="24"/>
              <w:szCs w:val="24"/>
              <w:shd w:val="clear" w:color="auto" w:fill="FFFFFF"/>
            </w:rPr>
            <w:fldChar w:fldCharType="end"/>
          </w:r>
        </w:sdtContent>
      </w:sdt>
      <w:r w:rsidRPr="004F24F9">
        <w:rPr>
          <w:rFonts w:cs="Times New Roman"/>
          <w:sz w:val="24"/>
          <w:szCs w:val="24"/>
          <w:shd w:val="clear" w:color="auto" w:fill="FFFFFF"/>
        </w:rPr>
        <w:t>.</w:t>
      </w:r>
    </w:p>
    <w:p w14:paraId="22322950" w14:textId="77777777" w:rsidR="009E4C91" w:rsidRPr="004F24F9" w:rsidRDefault="009E4C91" w:rsidP="00544ACE">
      <w:pPr>
        <w:spacing w:line="320" w:lineRule="exact"/>
        <w:ind w:firstLine="397"/>
        <w:jc w:val="both"/>
        <w:rPr>
          <w:rFonts w:cs="Times New Roman"/>
          <w:sz w:val="24"/>
          <w:szCs w:val="24"/>
        </w:rPr>
      </w:pPr>
      <w:r w:rsidRPr="004F24F9">
        <w:rPr>
          <w:rFonts w:cs="Times New Roman"/>
          <w:sz w:val="24"/>
          <w:szCs w:val="24"/>
        </w:rPr>
        <w:t>Có thể nói rằng</w:t>
      </w:r>
      <w:r w:rsidRPr="004F24F9">
        <w:rPr>
          <w:rFonts w:cs="Times New Roman"/>
          <w:b/>
          <w:sz w:val="24"/>
          <w:szCs w:val="24"/>
        </w:rPr>
        <w:t xml:space="preserve"> </w:t>
      </w:r>
      <w:r w:rsidRPr="004F24F9">
        <w:rPr>
          <w:rFonts w:cs="Times New Roman"/>
          <w:sz w:val="24"/>
          <w:szCs w:val="24"/>
        </w:rPr>
        <w:t>tín dụng chính sách xã hội là một hình thức tín dụng đặc biệt do Nhà nước hoặc các tổ chức tài chính xã hội cung cấp nhằm hỗ trợ các đối tượng chính sách, hộ nghèo, hộ cận nghèo và các đối tượng yếu thế khác trong xã hội. Mục tiêu của tín dụng chính sách xã hội là giúp các đối tượng này cải thiện điều kiện sống, phát triển kinh tế, và thoát nghèo bền vững.</w:t>
      </w:r>
    </w:p>
    <w:p w14:paraId="7967AE43" w14:textId="77777777" w:rsidR="009E4C91" w:rsidRPr="004F24F9" w:rsidRDefault="009E4C91" w:rsidP="00544ACE">
      <w:pPr>
        <w:spacing w:line="320" w:lineRule="exact"/>
        <w:jc w:val="both"/>
        <w:rPr>
          <w:rFonts w:cs="Times New Roman"/>
          <w:b/>
          <w:i/>
          <w:sz w:val="24"/>
          <w:szCs w:val="24"/>
        </w:rPr>
      </w:pPr>
      <w:r w:rsidRPr="004F24F9">
        <w:rPr>
          <w:rFonts w:cs="Times New Roman"/>
          <w:b/>
          <w:i/>
          <w:sz w:val="24"/>
          <w:szCs w:val="24"/>
        </w:rPr>
        <w:t>2.2. Thực trạng nguồn vốn</w:t>
      </w:r>
    </w:p>
    <w:p w14:paraId="19953621" w14:textId="77777777" w:rsidR="009E4C91" w:rsidRPr="004F24F9" w:rsidRDefault="009E4C91" w:rsidP="00544ACE">
      <w:pPr>
        <w:spacing w:line="320" w:lineRule="exact"/>
        <w:jc w:val="both"/>
        <w:outlineLvl w:val="0"/>
        <w:rPr>
          <w:rFonts w:cs="Times New Roman"/>
          <w:bCs/>
          <w:i/>
          <w:iCs/>
          <w:sz w:val="24"/>
          <w:szCs w:val="24"/>
        </w:rPr>
      </w:pPr>
      <w:bookmarkStart w:id="3" w:name="_Toc182080840"/>
      <w:r w:rsidRPr="004F24F9">
        <w:rPr>
          <w:rFonts w:cs="Times New Roman"/>
          <w:bCs/>
          <w:i/>
          <w:iCs/>
          <w:sz w:val="24"/>
          <w:szCs w:val="24"/>
        </w:rPr>
        <w:t>2.2.1. Tốc độ tăng trưởng nguồn vốn</w:t>
      </w:r>
      <w:bookmarkEnd w:id="3"/>
    </w:p>
    <w:p w14:paraId="20A69D4F" w14:textId="1C18B6E8" w:rsidR="00104131" w:rsidRPr="004F24F9" w:rsidRDefault="009E4C91" w:rsidP="00544ACE">
      <w:pPr>
        <w:widowControl w:val="0"/>
        <w:shd w:val="clear" w:color="auto" w:fill="FFFFFF"/>
        <w:spacing w:line="320" w:lineRule="exact"/>
        <w:ind w:firstLine="397"/>
        <w:jc w:val="both"/>
        <w:rPr>
          <w:rFonts w:cs="Times New Roman"/>
          <w:bCs/>
          <w:sz w:val="24"/>
          <w:szCs w:val="24"/>
        </w:rPr>
        <w:sectPr w:rsidR="00104131" w:rsidRPr="004F24F9" w:rsidSect="00104131">
          <w:type w:val="continuous"/>
          <w:pgSz w:w="11057" w:h="15593" w:code="9"/>
          <w:pgMar w:top="1418" w:right="1418" w:bottom="1418" w:left="1418" w:header="964" w:footer="851" w:gutter="0"/>
          <w:cols w:num="2" w:space="454"/>
          <w:docGrid w:linePitch="381"/>
        </w:sectPr>
      </w:pPr>
      <w:bookmarkStart w:id="4" w:name="_Toc182080841"/>
      <w:r w:rsidRPr="004F24F9">
        <w:rPr>
          <w:rFonts w:cs="Times New Roman"/>
          <w:sz w:val="24"/>
          <w:szCs w:val="24"/>
        </w:rPr>
        <w:t xml:space="preserve">Đến năm 2023, tổng nguồn vốn tại Chi nhánh đạt </w:t>
      </w:r>
      <w:r w:rsidRPr="004F24F9">
        <w:rPr>
          <w:rFonts w:cs="Times New Roman"/>
          <w:bCs/>
          <w:sz w:val="24"/>
          <w:szCs w:val="24"/>
        </w:rPr>
        <w:t xml:space="preserve">4.986.721 </w:t>
      </w:r>
      <w:r w:rsidRPr="004F24F9">
        <w:rPr>
          <w:rFonts w:cs="Times New Roman"/>
          <w:sz w:val="24"/>
          <w:szCs w:val="24"/>
        </w:rPr>
        <w:t xml:space="preserve">triệu đồng. Quy mô tăng trưởng vốn giai đoạn 2019 – 2023 không đồng đều, cụ thể: Năm 2020, nguồn vốn tăng </w:t>
      </w:r>
      <w:r w:rsidRPr="004F24F9">
        <w:rPr>
          <w:rFonts w:cs="Times New Roman"/>
          <w:bCs/>
          <w:sz w:val="24"/>
          <w:szCs w:val="24"/>
        </w:rPr>
        <w:t xml:space="preserve">322.755 </w:t>
      </w:r>
      <w:r w:rsidRPr="004F24F9">
        <w:rPr>
          <w:rFonts w:cs="Times New Roman"/>
          <w:sz w:val="24"/>
          <w:szCs w:val="24"/>
        </w:rPr>
        <w:t>triệu đồng (</w:t>
      </w:r>
      <w:r w:rsidRPr="004F24F9">
        <w:rPr>
          <w:rFonts w:cs="Times New Roman"/>
          <w:bCs/>
          <w:sz w:val="24"/>
          <w:szCs w:val="24"/>
        </w:rPr>
        <w:t xml:space="preserve">12,74 %) </w:t>
      </w:r>
      <w:r w:rsidRPr="004F24F9">
        <w:rPr>
          <w:rFonts w:cs="Times New Roman"/>
          <w:sz w:val="24"/>
          <w:szCs w:val="24"/>
        </w:rPr>
        <w:t xml:space="preserve">so với năm 2019; năm 2021, nguồn vốn tăng </w:t>
      </w:r>
      <w:r w:rsidRPr="004F24F9">
        <w:rPr>
          <w:rFonts w:cs="Times New Roman"/>
          <w:bCs/>
          <w:sz w:val="24"/>
          <w:szCs w:val="24"/>
        </w:rPr>
        <w:t xml:space="preserve">726.506 </w:t>
      </w:r>
      <w:r w:rsidRPr="004F24F9">
        <w:rPr>
          <w:rFonts w:cs="Times New Roman"/>
          <w:sz w:val="24"/>
          <w:szCs w:val="24"/>
        </w:rPr>
        <w:t>triệu đồng</w:t>
      </w:r>
      <w:r w:rsidRPr="004F24F9">
        <w:rPr>
          <w:rFonts w:cs="Times New Roman"/>
          <w:bCs/>
          <w:sz w:val="24"/>
          <w:szCs w:val="24"/>
        </w:rPr>
        <w:t xml:space="preserve"> (25,43 </w:t>
      </w:r>
      <w:r w:rsidRPr="004F24F9">
        <w:rPr>
          <w:rFonts w:cs="Times New Roman"/>
          <w:sz w:val="24"/>
          <w:szCs w:val="24"/>
        </w:rPr>
        <w:t xml:space="preserve">%) so với năm 2020; năm 2022, nguồn vốn tăng </w:t>
      </w:r>
      <w:r w:rsidRPr="004F24F9">
        <w:rPr>
          <w:rFonts w:cs="Times New Roman"/>
          <w:bCs/>
          <w:sz w:val="24"/>
          <w:szCs w:val="24"/>
        </w:rPr>
        <w:t xml:space="preserve">444.215 </w:t>
      </w:r>
      <w:r w:rsidRPr="004F24F9">
        <w:rPr>
          <w:rFonts w:cs="Times New Roman"/>
          <w:sz w:val="24"/>
          <w:szCs w:val="24"/>
        </w:rPr>
        <w:t>triệu đồng (</w:t>
      </w:r>
      <w:r w:rsidRPr="004F24F9">
        <w:rPr>
          <w:rFonts w:cs="Times New Roman"/>
          <w:bCs/>
          <w:sz w:val="24"/>
          <w:szCs w:val="24"/>
        </w:rPr>
        <w:t xml:space="preserve">12,40 </w:t>
      </w:r>
      <w:r w:rsidRPr="004F24F9">
        <w:rPr>
          <w:rFonts w:cs="Times New Roman"/>
          <w:sz w:val="24"/>
          <w:szCs w:val="24"/>
        </w:rPr>
        <w:t xml:space="preserve">%) so với năm 2021; năm 2023, </w:t>
      </w:r>
      <w:r w:rsidRPr="004F24F9">
        <w:rPr>
          <w:rFonts w:cs="Times New Roman"/>
          <w:sz w:val="24"/>
          <w:szCs w:val="24"/>
        </w:rPr>
        <w:lastRenderedPageBreak/>
        <w:t xml:space="preserve">nguồn vốn tăng </w:t>
      </w:r>
      <w:r w:rsidRPr="004F24F9">
        <w:rPr>
          <w:rFonts w:cs="Times New Roman"/>
          <w:bCs/>
          <w:sz w:val="24"/>
          <w:szCs w:val="24"/>
        </w:rPr>
        <w:t>959.204</w:t>
      </w:r>
      <w:r w:rsidRPr="004F24F9">
        <w:rPr>
          <w:rFonts w:cs="Times New Roman"/>
          <w:sz w:val="24"/>
          <w:szCs w:val="24"/>
        </w:rPr>
        <w:t xml:space="preserve"> triệu đồng </w:t>
      </w:r>
      <w:r w:rsidRPr="004F24F9">
        <w:rPr>
          <w:rFonts w:cs="Times New Roman"/>
          <w:sz w:val="24"/>
          <w:szCs w:val="24"/>
        </w:rPr>
        <w:lastRenderedPageBreak/>
        <w:t>(</w:t>
      </w:r>
      <w:r w:rsidRPr="004F24F9">
        <w:rPr>
          <w:rFonts w:cs="Times New Roman"/>
          <w:bCs/>
          <w:sz w:val="24"/>
          <w:szCs w:val="24"/>
        </w:rPr>
        <w:t>23,82 %) so với năm 2022 (bả</w:t>
      </w:r>
      <w:r w:rsidR="00E602D5" w:rsidRPr="004F24F9">
        <w:rPr>
          <w:rFonts w:cs="Times New Roman"/>
          <w:bCs/>
          <w:sz w:val="24"/>
          <w:szCs w:val="24"/>
        </w:rPr>
        <w:t xml:space="preserve">ng </w:t>
      </w:r>
      <w:r w:rsidRPr="004F24F9">
        <w:rPr>
          <w:rFonts w:cs="Times New Roman"/>
          <w:bCs/>
          <w:sz w:val="24"/>
          <w:szCs w:val="24"/>
        </w:rPr>
        <w:t>1).</w:t>
      </w:r>
    </w:p>
    <w:p w14:paraId="0FE4C536" w14:textId="77777777" w:rsidR="008F191D" w:rsidRPr="004F24F9" w:rsidRDefault="009E4C91" w:rsidP="00544ACE">
      <w:pPr>
        <w:spacing w:line="320" w:lineRule="exact"/>
        <w:jc w:val="center"/>
        <w:outlineLvl w:val="0"/>
        <w:rPr>
          <w:rFonts w:cs="Times New Roman"/>
          <w:bCs/>
          <w:i/>
          <w:sz w:val="24"/>
          <w:szCs w:val="24"/>
        </w:rPr>
      </w:pPr>
      <w:r w:rsidRPr="004F24F9">
        <w:rPr>
          <w:rFonts w:cs="Times New Roman"/>
          <w:b/>
          <w:bCs/>
          <w:sz w:val="24"/>
          <w:szCs w:val="24"/>
        </w:rPr>
        <w:lastRenderedPageBreak/>
        <w:t>Bả</w:t>
      </w:r>
      <w:r w:rsidR="00E602D5" w:rsidRPr="004F24F9">
        <w:rPr>
          <w:rFonts w:cs="Times New Roman"/>
          <w:b/>
          <w:bCs/>
          <w:sz w:val="24"/>
          <w:szCs w:val="24"/>
        </w:rPr>
        <w:t xml:space="preserve">ng </w:t>
      </w:r>
      <w:r w:rsidRPr="004F24F9">
        <w:rPr>
          <w:rFonts w:cs="Times New Roman"/>
          <w:b/>
          <w:bCs/>
          <w:sz w:val="24"/>
          <w:szCs w:val="24"/>
        </w:rPr>
        <w:t>1</w:t>
      </w:r>
      <w:r w:rsidR="00104131" w:rsidRPr="004F24F9">
        <w:rPr>
          <w:rFonts w:cs="Times New Roman"/>
          <w:b/>
          <w:bCs/>
          <w:sz w:val="24"/>
          <w:szCs w:val="24"/>
        </w:rPr>
        <w:t>:</w:t>
      </w:r>
      <w:r w:rsidRPr="004F24F9">
        <w:rPr>
          <w:rFonts w:cs="Times New Roman"/>
          <w:b/>
          <w:bCs/>
          <w:sz w:val="24"/>
          <w:szCs w:val="24"/>
        </w:rPr>
        <w:t xml:space="preserve"> </w:t>
      </w:r>
      <w:r w:rsidRPr="004F24F9">
        <w:rPr>
          <w:rFonts w:cs="Times New Roman"/>
          <w:bCs/>
          <w:i/>
          <w:sz w:val="24"/>
          <w:szCs w:val="24"/>
        </w:rPr>
        <w:t xml:space="preserve">Tốc độ tăng trưởng nguồn vốn của Chi nhánh NHCSXH Đồng Nai </w:t>
      </w:r>
    </w:p>
    <w:p w14:paraId="5CA58A21" w14:textId="6E74BF88" w:rsidR="009E4C91" w:rsidRPr="004F24F9" w:rsidRDefault="009E4C91" w:rsidP="00544ACE">
      <w:pPr>
        <w:spacing w:line="320" w:lineRule="exact"/>
        <w:jc w:val="center"/>
        <w:outlineLvl w:val="0"/>
        <w:rPr>
          <w:rFonts w:cs="Times New Roman"/>
          <w:bCs/>
          <w:sz w:val="24"/>
          <w:szCs w:val="24"/>
        </w:rPr>
      </w:pPr>
      <w:r w:rsidRPr="004F24F9">
        <w:rPr>
          <w:rFonts w:cs="Times New Roman"/>
          <w:bCs/>
          <w:i/>
          <w:sz w:val="24"/>
          <w:szCs w:val="24"/>
        </w:rPr>
        <w:t>qua 5 năm (2019-2023)</w:t>
      </w:r>
      <w:bookmarkEnd w:id="4"/>
    </w:p>
    <w:p w14:paraId="55B0FCE3" w14:textId="77777777" w:rsidR="009E4C91" w:rsidRPr="004F24F9" w:rsidRDefault="009E4C91" w:rsidP="00104131">
      <w:pPr>
        <w:spacing w:line="300" w:lineRule="exact"/>
        <w:ind w:firstLine="397"/>
        <w:jc w:val="right"/>
        <w:rPr>
          <w:rFonts w:cs="Times New Roman"/>
          <w:bCs/>
          <w:i/>
          <w:iCs/>
          <w:sz w:val="24"/>
          <w:szCs w:val="24"/>
        </w:rPr>
      </w:pPr>
      <w:r w:rsidRPr="004F24F9">
        <w:rPr>
          <w:rFonts w:cs="Times New Roman"/>
          <w:bCs/>
          <w:i/>
          <w:iCs/>
          <w:sz w:val="26"/>
          <w:szCs w:val="26"/>
        </w:rPr>
        <w:tab/>
      </w:r>
      <w:r w:rsidRPr="004F24F9">
        <w:rPr>
          <w:rFonts w:cs="Times New Roman"/>
          <w:bCs/>
          <w:i/>
          <w:iCs/>
          <w:sz w:val="26"/>
          <w:szCs w:val="26"/>
        </w:rPr>
        <w:tab/>
      </w:r>
      <w:r w:rsidRPr="004F24F9">
        <w:rPr>
          <w:rFonts w:cs="Times New Roman"/>
          <w:bCs/>
          <w:i/>
          <w:iCs/>
          <w:sz w:val="24"/>
          <w:szCs w:val="24"/>
        </w:rPr>
        <w:t>Đơn vị tính: Triệu đồng</w:t>
      </w:r>
    </w:p>
    <w:tbl>
      <w:tblPr>
        <w:tblW w:w="6212" w:type="pct"/>
        <w:jc w:val="center"/>
        <w:tblLayout w:type="fixed"/>
        <w:tblLook w:val="04A0" w:firstRow="1" w:lastRow="0" w:firstColumn="1" w:lastColumn="0" w:noHBand="0" w:noVBand="1"/>
      </w:tblPr>
      <w:tblGrid>
        <w:gridCol w:w="701"/>
        <w:gridCol w:w="858"/>
        <w:gridCol w:w="846"/>
        <w:gridCol w:w="852"/>
        <w:gridCol w:w="852"/>
        <w:gridCol w:w="845"/>
        <w:gridCol w:w="6"/>
        <w:gridCol w:w="716"/>
        <w:gridCol w:w="606"/>
        <w:gridCol w:w="706"/>
        <w:gridCol w:w="579"/>
        <w:gridCol w:w="800"/>
        <w:gridCol w:w="569"/>
        <w:gridCol w:w="706"/>
        <w:gridCol w:w="559"/>
      </w:tblGrid>
      <w:tr w:rsidR="004F24F9" w:rsidRPr="004F24F9" w14:paraId="7E3FF4F2" w14:textId="77777777" w:rsidTr="00483C6A">
        <w:trPr>
          <w:trHeight w:val="285"/>
          <w:tblHeader/>
          <w:jc w:val="center"/>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275B2"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Chỉ tiêu</w:t>
            </w:r>
          </w:p>
        </w:tc>
        <w:tc>
          <w:tcPr>
            <w:tcW w:w="2087" w:type="pct"/>
            <w:gridSpan w:val="6"/>
            <w:tcBorders>
              <w:top w:val="single" w:sz="4" w:space="0" w:color="auto"/>
              <w:left w:val="nil"/>
              <w:bottom w:val="single" w:sz="4" w:space="0" w:color="auto"/>
              <w:right w:val="single" w:sz="4" w:space="0" w:color="000000"/>
            </w:tcBorders>
            <w:shd w:val="clear" w:color="auto" w:fill="auto"/>
            <w:vAlign w:val="center"/>
            <w:hideMark/>
          </w:tcPr>
          <w:p w14:paraId="67C9F059"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Năm</w:t>
            </w:r>
          </w:p>
        </w:tc>
        <w:tc>
          <w:tcPr>
            <w:tcW w:w="2569" w:type="pct"/>
            <w:gridSpan w:val="8"/>
            <w:tcBorders>
              <w:top w:val="single" w:sz="4" w:space="0" w:color="auto"/>
              <w:left w:val="nil"/>
              <w:bottom w:val="single" w:sz="4" w:space="0" w:color="auto"/>
              <w:right w:val="single" w:sz="4" w:space="0" w:color="000000"/>
            </w:tcBorders>
            <w:shd w:val="clear" w:color="auto" w:fill="auto"/>
            <w:vAlign w:val="center"/>
            <w:hideMark/>
          </w:tcPr>
          <w:p w14:paraId="49167980"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So sánh</w:t>
            </w:r>
          </w:p>
        </w:tc>
      </w:tr>
      <w:tr w:rsidR="004F24F9" w:rsidRPr="004F24F9" w14:paraId="0E556125" w14:textId="77777777" w:rsidTr="00483C6A">
        <w:trPr>
          <w:trHeight w:val="389"/>
          <w:tblHeader/>
          <w:jc w:val="center"/>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76A4D2C2" w14:textId="77777777" w:rsidR="009E4C91" w:rsidRPr="004F24F9" w:rsidRDefault="009E4C91" w:rsidP="00841617">
            <w:pPr>
              <w:widowControl w:val="0"/>
              <w:jc w:val="center"/>
              <w:rPr>
                <w:rFonts w:cs="Times New Roman"/>
                <w:b/>
                <w:bCs/>
                <w:sz w:val="14"/>
                <w:szCs w:val="14"/>
              </w:rPr>
            </w:pPr>
          </w:p>
        </w:tc>
        <w:tc>
          <w:tcPr>
            <w:tcW w:w="421" w:type="pct"/>
            <w:vMerge w:val="restart"/>
            <w:tcBorders>
              <w:top w:val="nil"/>
              <w:left w:val="single" w:sz="4" w:space="0" w:color="auto"/>
              <w:bottom w:val="single" w:sz="4" w:space="0" w:color="000000"/>
              <w:right w:val="single" w:sz="4" w:space="0" w:color="auto"/>
            </w:tcBorders>
            <w:shd w:val="clear" w:color="auto" w:fill="auto"/>
            <w:vAlign w:val="center"/>
            <w:hideMark/>
          </w:tcPr>
          <w:p w14:paraId="2C365D94"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2019</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3CB0CF68"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2020</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66119E0C"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2021</w:t>
            </w:r>
          </w:p>
        </w:tc>
        <w:tc>
          <w:tcPr>
            <w:tcW w:w="418" w:type="pct"/>
            <w:vMerge w:val="restart"/>
            <w:tcBorders>
              <w:top w:val="nil"/>
              <w:left w:val="single" w:sz="4" w:space="0" w:color="auto"/>
              <w:bottom w:val="single" w:sz="4" w:space="0" w:color="000000"/>
              <w:right w:val="single" w:sz="4" w:space="0" w:color="auto"/>
            </w:tcBorders>
            <w:shd w:val="clear" w:color="auto" w:fill="auto"/>
            <w:vAlign w:val="center"/>
            <w:hideMark/>
          </w:tcPr>
          <w:p w14:paraId="4CE92752"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2022</w:t>
            </w: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14:paraId="27966363" w14:textId="77777777" w:rsidR="009E4C91" w:rsidRPr="004F24F9" w:rsidRDefault="009E4C91" w:rsidP="00841617">
            <w:pPr>
              <w:widowControl w:val="0"/>
              <w:jc w:val="center"/>
              <w:rPr>
                <w:rFonts w:cs="Times New Roman"/>
                <w:b/>
                <w:bCs/>
                <w:spacing w:val="-10"/>
                <w:sz w:val="14"/>
                <w:szCs w:val="14"/>
              </w:rPr>
            </w:pPr>
            <w:r w:rsidRPr="004F24F9">
              <w:rPr>
                <w:rFonts w:cs="Times New Roman"/>
                <w:b/>
                <w:bCs/>
                <w:spacing w:val="-10"/>
                <w:sz w:val="14"/>
                <w:szCs w:val="14"/>
              </w:rPr>
              <w:t>2023</w:t>
            </w:r>
          </w:p>
        </w:tc>
        <w:tc>
          <w:tcPr>
            <w:tcW w:w="649" w:type="pct"/>
            <w:gridSpan w:val="3"/>
            <w:tcBorders>
              <w:top w:val="single" w:sz="4" w:space="0" w:color="auto"/>
              <w:left w:val="nil"/>
              <w:bottom w:val="single" w:sz="4" w:space="0" w:color="auto"/>
              <w:right w:val="single" w:sz="4" w:space="0" w:color="auto"/>
            </w:tcBorders>
            <w:shd w:val="clear" w:color="auto" w:fill="auto"/>
            <w:vAlign w:val="center"/>
            <w:hideMark/>
          </w:tcPr>
          <w:p w14:paraId="4F6F8456"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2020/2019</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14:paraId="0434BA00"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2021/2020</w:t>
            </w:r>
          </w:p>
        </w:tc>
        <w:tc>
          <w:tcPr>
            <w:tcW w:w="671" w:type="pct"/>
            <w:gridSpan w:val="2"/>
            <w:tcBorders>
              <w:top w:val="single" w:sz="4" w:space="0" w:color="auto"/>
              <w:left w:val="nil"/>
              <w:bottom w:val="single" w:sz="4" w:space="0" w:color="auto"/>
              <w:right w:val="single" w:sz="4" w:space="0" w:color="auto"/>
            </w:tcBorders>
            <w:shd w:val="clear" w:color="auto" w:fill="auto"/>
            <w:vAlign w:val="center"/>
            <w:hideMark/>
          </w:tcPr>
          <w:p w14:paraId="75D054E8"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2022/2021</w:t>
            </w:r>
          </w:p>
        </w:tc>
        <w:tc>
          <w:tcPr>
            <w:tcW w:w="622" w:type="pct"/>
            <w:gridSpan w:val="2"/>
            <w:tcBorders>
              <w:top w:val="single" w:sz="4" w:space="0" w:color="auto"/>
              <w:left w:val="nil"/>
              <w:bottom w:val="single" w:sz="4" w:space="0" w:color="auto"/>
              <w:right w:val="single" w:sz="4" w:space="0" w:color="auto"/>
            </w:tcBorders>
            <w:shd w:val="clear" w:color="auto" w:fill="auto"/>
            <w:vAlign w:val="center"/>
            <w:hideMark/>
          </w:tcPr>
          <w:p w14:paraId="5456505A"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2023/2022</w:t>
            </w:r>
          </w:p>
        </w:tc>
      </w:tr>
      <w:tr w:rsidR="004F24F9" w:rsidRPr="004F24F9" w14:paraId="0903B5EB" w14:textId="77777777" w:rsidTr="00483C6A">
        <w:trPr>
          <w:trHeight w:val="285"/>
          <w:tblHeader/>
          <w:jc w:val="center"/>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7C7C70C0" w14:textId="77777777" w:rsidR="009E4C91" w:rsidRPr="004F24F9" w:rsidRDefault="009E4C91" w:rsidP="00841617">
            <w:pPr>
              <w:widowControl w:val="0"/>
              <w:jc w:val="center"/>
              <w:rPr>
                <w:rFonts w:cs="Times New Roman"/>
                <w:b/>
                <w:bCs/>
                <w:sz w:val="14"/>
                <w:szCs w:val="14"/>
              </w:rPr>
            </w:pPr>
          </w:p>
        </w:tc>
        <w:tc>
          <w:tcPr>
            <w:tcW w:w="421" w:type="pct"/>
            <w:vMerge/>
            <w:tcBorders>
              <w:top w:val="nil"/>
              <w:left w:val="single" w:sz="4" w:space="0" w:color="auto"/>
              <w:bottom w:val="single" w:sz="4" w:space="0" w:color="000000"/>
              <w:right w:val="single" w:sz="4" w:space="0" w:color="auto"/>
            </w:tcBorders>
            <w:vAlign w:val="center"/>
            <w:hideMark/>
          </w:tcPr>
          <w:p w14:paraId="4CFE6B50" w14:textId="77777777" w:rsidR="009E4C91" w:rsidRPr="004F24F9" w:rsidRDefault="009E4C91" w:rsidP="00841617">
            <w:pPr>
              <w:widowControl w:val="0"/>
              <w:jc w:val="center"/>
              <w:rPr>
                <w:rFonts w:cs="Times New Roman"/>
                <w:b/>
                <w:bCs/>
                <w:sz w:val="14"/>
                <w:szCs w:val="14"/>
              </w:rPr>
            </w:pPr>
          </w:p>
        </w:tc>
        <w:tc>
          <w:tcPr>
            <w:tcW w:w="415" w:type="pct"/>
            <w:vMerge/>
            <w:tcBorders>
              <w:top w:val="nil"/>
              <w:left w:val="single" w:sz="4" w:space="0" w:color="auto"/>
              <w:bottom w:val="single" w:sz="4" w:space="0" w:color="000000"/>
              <w:right w:val="single" w:sz="4" w:space="0" w:color="auto"/>
            </w:tcBorders>
            <w:vAlign w:val="center"/>
            <w:hideMark/>
          </w:tcPr>
          <w:p w14:paraId="5767B5C0" w14:textId="77777777" w:rsidR="009E4C91" w:rsidRPr="004F24F9" w:rsidRDefault="009E4C91" w:rsidP="00841617">
            <w:pPr>
              <w:widowControl w:val="0"/>
              <w:jc w:val="center"/>
              <w:rPr>
                <w:rFonts w:cs="Times New Roman"/>
                <w:b/>
                <w:bCs/>
                <w:sz w:val="14"/>
                <w:szCs w:val="14"/>
              </w:rPr>
            </w:pPr>
          </w:p>
        </w:tc>
        <w:tc>
          <w:tcPr>
            <w:tcW w:w="418" w:type="pct"/>
            <w:vMerge/>
            <w:tcBorders>
              <w:top w:val="nil"/>
              <w:left w:val="single" w:sz="4" w:space="0" w:color="auto"/>
              <w:bottom w:val="single" w:sz="4" w:space="0" w:color="000000"/>
              <w:right w:val="single" w:sz="4" w:space="0" w:color="auto"/>
            </w:tcBorders>
            <w:vAlign w:val="center"/>
            <w:hideMark/>
          </w:tcPr>
          <w:p w14:paraId="40B470D9" w14:textId="77777777" w:rsidR="009E4C91" w:rsidRPr="004F24F9" w:rsidRDefault="009E4C91" w:rsidP="00841617">
            <w:pPr>
              <w:widowControl w:val="0"/>
              <w:jc w:val="center"/>
              <w:rPr>
                <w:rFonts w:cs="Times New Roman"/>
                <w:b/>
                <w:bCs/>
                <w:sz w:val="14"/>
                <w:szCs w:val="14"/>
              </w:rPr>
            </w:pPr>
          </w:p>
        </w:tc>
        <w:tc>
          <w:tcPr>
            <w:tcW w:w="418" w:type="pct"/>
            <w:vMerge/>
            <w:tcBorders>
              <w:top w:val="nil"/>
              <w:left w:val="single" w:sz="4" w:space="0" w:color="auto"/>
              <w:bottom w:val="single" w:sz="4" w:space="0" w:color="000000"/>
              <w:right w:val="single" w:sz="4" w:space="0" w:color="auto"/>
            </w:tcBorders>
            <w:vAlign w:val="center"/>
            <w:hideMark/>
          </w:tcPr>
          <w:p w14:paraId="655A1676" w14:textId="77777777" w:rsidR="009E4C91" w:rsidRPr="004F24F9" w:rsidRDefault="009E4C91" w:rsidP="00841617">
            <w:pPr>
              <w:widowControl w:val="0"/>
              <w:jc w:val="center"/>
              <w:rPr>
                <w:rFonts w:cs="Times New Roman"/>
                <w:b/>
                <w:bCs/>
                <w:sz w:val="14"/>
                <w:szCs w:val="14"/>
              </w:rPr>
            </w:pPr>
          </w:p>
        </w:tc>
        <w:tc>
          <w:tcPr>
            <w:tcW w:w="414" w:type="pct"/>
            <w:vMerge/>
            <w:tcBorders>
              <w:top w:val="nil"/>
              <w:left w:val="single" w:sz="4" w:space="0" w:color="auto"/>
              <w:bottom w:val="single" w:sz="4" w:space="0" w:color="auto"/>
              <w:right w:val="single" w:sz="4" w:space="0" w:color="auto"/>
            </w:tcBorders>
            <w:vAlign w:val="center"/>
            <w:hideMark/>
          </w:tcPr>
          <w:p w14:paraId="4C1CA0B5" w14:textId="77777777" w:rsidR="009E4C91" w:rsidRPr="004F24F9" w:rsidRDefault="009E4C91" w:rsidP="00841617">
            <w:pPr>
              <w:widowControl w:val="0"/>
              <w:jc w:val="center"/>
              <w:rPr>
                <w:rFonts w:cs="Times New Roman"/>
                <w:b/>
                <w:bCs/>
                <w:spacing w:val="-10"/>
                <w:sz w:val="14"/>
                <w:szCs w:val="14"/>
              </w:rPr>
            </w:pPr>
          </w:p>
        </w:tc>
        <w:tc>
          <w:tcPr>
            <w:tcW w:w="352" w:type="pct"/>
            <w:gridSpan w:val="2"/>
            <w:tcBorders>
              <w:top w:val="nil"/>
              <w:left w:val="nil"/>
              <w:bottom w:val="single" w:sz="4" w:space="0" w:color="auto"/>
              <w:right w:val="single" w:sz="4" w:space="0" w:color="auto"/>
            </w:tcBorders>
            <w:shd w:val="clear" w:color="auto" w:fill="auto"/>
            <w:vAlign w:val="center"/>
            <w:hideMark/>
          </w:tcPr>
          <w:p w14:paraId="014E128E"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297" w:type="pct"/>
            <w:tcBorders>
              <w:top w:val="nil"/>
              <w:left w:val="nil"/>
              <w:bottom w:val="single" w:sz="4" w:space="0" w:color="auto"/>
              <w:right w:val="single" w:sz="4" w:space="0" w:color="auto"/>
            </w:tcBorders>
            <w:shd w:val="clear" w:color="auto" w:fill="auto"/>
            <w:vAlign w:val="center"/>
            <w:hideMark/>
          </w:tcPr>
          <w:p w14:paraId="2B2A7A0C"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346" w:type="pct"/>
            <w:tcBorders>
              <w:top w:val="nil"/>
              <w:left w:val="nil"/>
              <w:bottom w:val="single" w:sz="4" w:space="0" w:color="auto"/>
              <w:right w:val="single" w:sz="4" w:space="0" w:color="auto"/>
            </w:tcBorders>
            <w:shd w:val="clear" w:color="auto" w:fill="auto"/>
            <w:vAlign w:val="center"/>
            <w:hideMark/>
          </w:tcPr>
          <w:p w14:paraId="1798FB80"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284" w:type="pct"/>
            <w:tcBorders>
              <w:top w:val="nil"/>
              <w:left w:val="nil"/>
              <w:bottom w:val="single" w:sz="4" w:space="0" w:color="auto"/>
              <w:right w:val="single" w:sz="4" w:space="0" w:color="auto"/>
            </w:tcBorders>
            <w:shd w:val="clear" w:color="auto" w:fill="auto"/>
            <w:vAlign w:val="center"/>
            <w:hideMark/>
          </w:tcPr>
          <w:p w14:paraId="62F51402"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392" w:type="pct"/>
            <w:tcBorders>
              <w:top w:val="nil"/>
              <w:left w:val="nil"/>
              <w:bottom w:val="single" w:sz="4" w:space="0" w:color="auto"/>
              <w:right w:val="single" w:sz="4" w:space="0" w:color="auto"/>
            </w:tcBorders>
            <w:shd w:val="clear" w:color="auto" w:fill="auto"/>
            <w:vAlign w:val="center"/>
            <w:hideMark/>
          </w:tcPr>
          <w:p w14:paraId="6F0D8340"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278" w:type="pct"/>
            <w:tcBorders>
              <w:top w:val="nil"/>
              <w:left w:val="nil"/>
              <w:bottom w:val="single" w:sz="4" w:space="0" w:color="auto"/>
              <w:right w:val="single" w:sz="4" w:space="0" w:color="auto"/>
            </w:tcBorders>
            <w:shd w:val="clear" w:color="auto" w:fill="auto"/>
            <w:vAlign w:val="center"/>
            <w:hideMark/>
          </w:tcPr>
          <w:p w14:paraId="747133C5"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346" w:type="pct"/>
            <w:tcBorders>
              <w:top w:val="nil"/>
              <w:left w:val="nil"/>
              <w:bottom w:val="single" w:sz="4" w:space="0" w:color="auto"/>
              <w:right w:val="single" w:sz="4" w:space="0" w:color="auto"/>
            </w:tcBorders>
            <w:shd w:val="clear" w:color="auto" w:fill="auto"/>
            <w:vAlign w:val="center"/>
            <w:hideMark/>
          </w:tcPr>
          <w:p w14:paraId="35DC00C8"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c>
          <w:tcPr>
            <w:tcW w:w="277" w:type="pct"/>
            <w:tcBorders>
              <w:top w:val="nil"/>
              <w:left w:val="nil"/>
              <w:bottom w:val="single" w:sz="4" w:space="0" w:color="auto"/>
              <w:right w:val="single" w:sz="4" w:space="0" w:color="auto"/>
            </w:tcBorders>
            <w:shd w:val="clear" w:color="auto" w:fill="auto"/>
            <w:vAlign w:val="center"/>
            <w:hideMark/>
          </w:tcPr>
          <w:p w14:paraId="5416C801"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w:t>
            </w:r>
          </w:p>
        </w:tc>
      </w:tr>
      <w:tr w:rsidR="004F24F9" w:rsidRPr="004F24F9" w14:paraId="18FDF270" w14:textId="77777777" w:rsidTr="00483C6A">
        <w:trPr>
          <w:trHeight w:val="697"/>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6E66ACE5" w14:textId="6E3ADA16" w:rsidR="009E4C91" w:rsidRPr="004F24F9" w:rsidRDefault="009E4C91" w:rsidP="00841617">
            <w:pPr>
              <w:widowControl w:val="0"/>
              <w:jc w:val="center"/>
              <w:rPr>
                <w:rFonts w:cs="Times New Roman"/>
                <w:spacing w:val="-6"/>
                <w:sz w:val="14"/>
                <w:szCs w:val="14"/>
              </w:rPr>
            </w:pPr>
            <w:r w:rsidRPr="004F24F9">
              <w:rPr>
                <w:rFonts w:cs="Times New Roman"/>
                <w:spacing w:val="-6"/>
                <w:sz w:val="14"/>
                <w:szCs w:val="14"/>
              </w:rPr>
              <w:t>Nguồn vố</w:t>
            </w:r>
            <w:r w:rsidR="008F191D" w:rsidRPr="004F24F9">
              <w:rPr>
                <w:rFonts w:cs="Times New Roman"/>
                <w:spacing w:val="-6"/>
                <w:sz w:val="14"/>
                <w:szCs w:val="14"/>
              </w:rPr>
              <w:t>n Trung ương</w:t>
            </w:r>
            <w:r w:rsidRPr="004F24F9">
              <w:rPr>
                <w:rFonts w:cs="Times New Roman"/>
                <w:spacing w:val="-6"/>
                <w:sz w:val="14"/>
                <w:szCs w:val="14"/>
              </w:rPr>
              <w:t xml:space="preserve"> phân bổ</w:t>
            </w:r>
          </w:p>
        </w:tc>
        <w:tc>
          <w:tcPr>
            <w:tcW w:w="421" w:type="pct"/>
            <w:tcBorders>
              <w:top w:val="nil"/>
              <w:left w:val="nil"/>
              <w:bottom w:val="single" w:sz="4" w:space="0" w:color="auto"/>
              <w:right w:val="single" w:sz="4" w:space="0" w:color="auto"/>
            </w:tcBorders>
            <w:shd w:val="clear" w:color="auto" w:fill="auto"/>
            <w:vAlign w:val="center"/>
          </w:tcPr>
          <w:p w14:paraId="7403B3B1" w14:textId="77777777" w:rsidR="009E4C91" w:rsidRPr="004F24F9" w:rsidRDefault="009E4C91" w:rsidP="00483C6A">
            <w:pPr>
              <w:widowControl w:val="0"/>
              <w:rPr>
                <w:rFonts w:cs="Times New Roman"/>
                <w:spacing w:val="-10"/>
                <w:sz w:val="14"/>
                <w:szCs w:val="14"/>
              </w:rPr>
            </w:pPr>
            <w:r w:rsidRPr="004F24F9">
              <w:rPr>
                <w:rFonts w:cs="Times New Roman"/>
                <w:spacing w:val="-10"/>
                <w:sz w:val="14"/>
                <w:szCs w:val="14"/>
              </w:rPr>
              <w:t>1.897.113</w:t>
            </w:r>
          </w:p>
        </w:tc>
        <w:tc>
          <w:tcPr>
            <w:tcW w:w="415" w:type="pct"/>
            <w:tcBorders>
              <w:top w:val="nil"/>
              <w:left w:val="nil"/>
              <w:bottom w:val="single" w:sz="4" w:space="0" w:color="auto"/>
              <w:right w:val="single" w:sz="4" w:space="0" w:color="auto"/>
            </w:tcBorders>
            <w:shd w:val="clear" w:color="auto" w:fill="auto"/>
            <w:vAlign w:val="center"/>
          </w:tcPr>
          <w:p w14:paraId="4D1179B9" w14:textId="77777777" w:rsidR="009E4C91" w:rsidRPr="004F24F9" w:rsidRDefault="009E4C91" w:rsidP="00483C6A">
            <w:pPr>
              <w:widowControl w:val="0"/>
              <w:rPr>
                <w:rFonts w:cs="Times New Roman"/>
                <w:spacing w:val="-10"/>
                <w:sz w:val="14"/>
                <w:szCs w:val="14"/>
              </w:rPr>
            </w:pPr>
            <w:r w:rsidRPr="004F24F9">
              <w:rPr>
                <w:rFonts w:cs="Times New Roman"/>
                <w:spacing w:val="-10"/>
                <w:sz w:val="14"/>
                <w:szCs w:val="14"/>
              </w:rPr>
              <w:t>2.057.221</w:t>
            </w:r>
          </w:p>
        </w:tc>
        <w:tc>
          <w:tcPr>
            <w:tcW w:w="418" w:type="pct"/>
            <w:tcBorders>
              <w:top w:val="nil"/>
              <w:left w:val="nil"/>
              <w:bottom w:val="single" w:sz="4" w:space="0" w:color="auto"/>
              <w:right w:val="single" w:sz="4" w:space="0" w:color="auto"/>
            </w:tcBorders>
            <w:shd w:val="clear" w:color="auto" w:fill="auto"/>
            <w:vAlign w:val="center"/>
          </w:tcPr>
          <w:p w14:paraId="327781C1" w14:textId="77777777" w:rsidR="009E4C91" w:rsidRPr="004F24F9" w:rsidRDefault="009E4C91" w:rsidP="00483C6A">
            <w:pPr>
              <w:widowControl w:val="0"/>
              <w:rPr>
                <w:rFonts w:cs="Times New Roman"/>
                <w:spacing w:val="-10"/>
                <w:sz w:val="14"/>
                <w:szCs w:val="14"/>
              </w:rPr>
            </w:pPr>
            <w:r w:rsidRPr="004F24F9">
              <w:rPr>
                <w:rFonts w:cs="Times New Roman"/>
                <w:spacing w:val="-10"/>
                <w:sz w:val="14"/>
                <w:szCs w:val="14"/>
              </w:rPr>
              <w:t>2.084.030</w:t>
            </w:r>
          </w:p>
        </w:tc>
        <w:tc>
          <w:tcPr>
            <w:tcW w:w="418" w:type="pct"/>
            <w:tcBorders>
              <w:top w:val="nil"/>
              <w:left w:val="nil"/>
              <w:bottom w:val="single" w:sz="4" w:space="0" w:color="auto"/>
              <w:right w:val="single" w:sz="4" w:space="0" w:color="auto"/>
            </w:tcBorders>
            <w:shd w:val="clear" w:color="auto" w:fill="auto"/>
            <w:vAlign w:val="center"/>
          </w:tcPr>
          <w:p w14:paraId="2DB990E5" w14:textId="77777777" w:rsidR="009E4C91" w:rsidRPr="004F24F9" w:rsidRDefault="009E4C91" w:rsidP="00483C6A">
            <w:pPr>
              <w:widowControl w:val="0"/>
              <w:rPr>
                <w:rFonts w:cs="Times New Roman"/>
                <w:spacing w:val="-10"/>
                <w:sz w:val="14"/>
                <w:szCs w:val="14"/>
              </w:rPr>
            </w:pPr>
            <w:r w:rsidRPr="004F24F9">
              <w:rPr>
                <w:rFonts w:cs="Times New Roman"/>
                <w:spacing w:val="-10"/>
                <w:sz w:val="14"/>
                <w:szCs w:val="14"/>
              </w:rPr>
              <w:t>2.293.904</w:t>
            </w:r>
          </w:p>
        </w:tc>
        <w:tc>
          <w:tcPr>
            <w:tcW w:w="414" w:type="pct"/>
            <w:tcBorders>
              <w:top w:val="nil"/>
              <w:left w:val="nil"/>
              <w:bottom w:val="single" w:sz="4" w:space="0" w:color="auto"/>
              <w:right w:val="single" w:sz="4" w:space="0" w:color="auto"/>
            </w:tcBorders>
            <w:shd w:val="clear" w:color="auto" w:fill="auto"/>
            <w:vAlign w:val="center"/>
          </w:tcPr>
          <w:p w14:paraId="42F87B7B" w14:textId="77777777" w:rsidR="009E4C91" w:rsidRPr="004F24F9" w:rsidRDefault="009E4C91" w:rsidP="00483C6A">
            <w:pPr>
              <w:widowControl w:val="0"/>
              <w:rPr>
                <w:rFonts w:cs="Times New Roman"/>
                <w:spacing w:val="-10"/>
                <w:sz w:val="14"/>
                <w:szCs w:val="14"/>
              </w:rPr>
            </w:pPr>
            <w:r w:rsidRPr="004F24F9">
              <w:rPr>
                <w:rFonts w:cs="Times New Roman"/>
                <w:spacing w:val="-10"/>
                <w:sz w:val="14"/>
                <w:szCs w:val="14"/>
              </w:rPr>
              <w:t>2.661.414</w:t>
            </w:r>
          </w:p>
        </w:tc>
        <w:tc>
          <w:tcPr>
            <w:tcW w:w="352" w:type="pct"/>
            <w:gridSpan w:val="2"/>
            <w:tcBorders>
              <w:top w:val="nil"/>
              <w:left w:val="nil"/>
              <w:bottom w:val="single" w:sz="4" w:space="0" w:color="auto"/>
              <w:right w:val="single" w:sz="4" w:space="0" w:color="auto"/>
            </w:tcBorders>
            <w:shd w:val="clear" w:color="auto" w:fill="auto"/>
            <w:vAlign w:val="center"/>
          </w:tcPr>
          <w:p w14:paraId="51A5F2CD" w14:textId="77777777" w:rsidR="009E4C91" w:rsidRPr="004F24F9" w:rsidRDefault="009E4C91" w:rsidP="00483C6A">
            <w:pPr>
              <w:widowControl w:val="0"/>
              <w:rPr>
                <w:rFonts w:cs="Times New Roman"/>
                <w:spacing w:val="-10"/>
                <w:sz w:val="14"/>
                <w:szCs w:val="14"/>
              </w:rPr>
            </w:pPr>
            <w:r w:rsidRPr="004F24F9">
              <w:rPr>
                <w:rFonts w:cs="Times New Roman"/>
                <w:sz w:val="14"/>
                <w:szCs w:val="14"/>
              </w:rPr>
              <w:t>160.108</w:t>
            </w:r>
          </w:p>
        </w:tc>
        <w:tc>
          <w:tcPr>
            <w:tcW w:w="297" w:type="pct"/>
            <w:tcBorders>
              <w:top w:val="nil"/>
              <w:left w:val="nil"/>
              <w:bottom w:val="single" w:sz="4" w:space="0" w:color="auto"/>
              <w:right w:val="single" w:sz="4" w:space="0" w:color="auto"/>
            </w:tcBorders>
            <w:shd w:val="clear" w:color="auto" w:fill="auto"/>
            <w:vAlign w:val="center"/>
          </w:tcPr>
          <w:p w14:paraId="6660897F" w14:textId="77777777" w:rsidR="009E4C91" w:rsidRPr="004F24F9" w:rsidRDefault="009E4C91" w:rsidP="00483C6A">
            <w:pPr>
              <w:widowControl w:val="0"/>
              <w:rPr>
                <w:rFonts w:cs="Times New Roman"/>
                <w:spacing w:val="-10"/>
                <w:sz w:val="14"/>
                <w:szCs w:val="14"/>
              </w:rPr>
            </w:pPr>
            <w:r w:rsidRPr="004F24F9">
              <w:rPr>
                <w:rFonts w:cs="Times New Roman"/>
                <w:sz w:val="14"/>
                <w:szCs w:val="14"/>
              </w:rPr>
              <w:t>8,44</w:t>
            </w:r>
          </w:p>
        </w:tc>
        <w:tc>
          <w:tcPr>
            <w:tcW w:w="346" w:type="pct"/>
            <w:tcBorders>
              <w:top w:val="nil"/>
              <w:left w:val="nil"/>
              <w:bottom w:val="single" w:sz="4" w:space="0" w:color="auto"/>
              <w:right w:val="single" w:sz="4" w:space="0" w:color="auto"/>
            </w:tcBorders>
            <w:shd w:val="clear" w:color="auto" w:fill="auto"/>
            <w:vAlign w:val="center"/>
          </w:tcPr>
          <w:p w14:paraId="2087C3FA" w14:textId="77777777" w:rsidR="009E4C91" w:rsidRPr="004F24F9" w:rsidRDefault="009E4C91" w:rsidP="00483C6A">
            <w:pPr>
              <w:widowControl w:val="0"/>
              <w:rPr>
                <w:rFonts w:cs="Times New Roman"/>
                <w:spacing w:val="-10"/>
                <w:sz w:val="14"/>
                <w:szCs w:val="14"/>
              </w:rPr>
            </w:pPr>
            <w:r w:rsidRPr="004F24F9">
              <w:rPr>
                <w:rFonts w:cs="Times New Roman"/>
                <w:sz w:val="14"/>
                <w:szCs w:val="14"/>
              </w:rPr>
              <w:t>26.809</w:t>
            </w:r>
          </w:p>
        </w:tc>
        <w:tc>
          <w:tcPr>
            <w:tcW w:w="284" w:type="pct"/>
            <w:tcBorders>
              <w:top w:val="nil"/>
              <w:left w:val="nil"/>
              <w:bottom w:val="single" w:sz="4" w:space="0" w:color="auto"/>
              <w:right w:val="single" w:sz="4" w:space="0" w:color="auto"/>
            </w:tcBorders>
            <w:shd w:val="clear" w:color="auto" w:fill="auto"/>
            <w:vAlign w:val="center"/>
          </w:tcPr>
          <w:p w14:paraId="13760472" w14:textId="77777777" w:rsidR="009E4C91" w:rsidRPr="004F24F9" w:rsidRDefault="009E4C91" w:rsidP="00483C6A">
            <w:pPr>
              <w:widowControl w:val="0"/>
              <w:rPr>
                <w:rFonts w:cs="Times New Roman"/>
                <w:spacing w:val="-10"/>
                <w:sz w:val="14"/>
                <w:szCs w:val="14"/>
              </w:rPr>
            </w:pPr>
            <w:r w:rsidRPr="004F24F9">
              <w:rPr>
                <w:rFonts w:cs="Times New Roman"/>
                <w:sz w:val="14"/>
                <w:szCs w:val="14"/>
              </w:rPr>
              <w:t>1,30</w:t>
            </w:r>
          </w:p>
        </w:tc>
        <w:tc>
          <w:tcPr>
            <w:tcW w:w="392" w:type="pct"/>
            <w:tcBorders>
              <w:top w:val="nil"/>
              <w:left w:val="nil"/>
              <w:bottom w:val="single" w:sz="4" w:space="0" w:color="auto"/>
              <w:right w:val="single" w:sz="4" w:space="0" w:color="auto"/>
            </w:tcBorders>
            <w:shd w:val="clear" w:color="auto" w:fill="auto"/>
            <w:vAlign w:val="center"/>
          </w:tcPr>
          <w:p w14:paraId="31954CDA" w14:textId="77777777" w:rsidR="009E4C91" w:rsidRPr="004F24F9" w:rsidRDefault="009E4C91" w:rsidP="00483C6A">
            <w:pPr>
              <w:widowControl w:val="0"/>
              <w:rPr>
                <w:rFonts w:cs="Times New Roman"/>
                <w:spacing w:val="-10"/>
                <w:sz w:val="14"/>
                <w:szCs w:val="14"/>
              </w:rPr>
            </w:pPr>
            <w:r w:rsidRPr="004F24F9">
              <w:rPr>
                <w:rFonts w:cs="Times New Roman"/>
                <w:sz w:val="14"/>
                <w:szCs w:val="14"/>
              </w:rPr>
              <w:t>209.874</w:t>
            </w:r>
          </w:p>
        </w:tc>
        <w:tc>
          <w:tcPr>
            <w:tcW w:w="278" w:type="pct"/>
            <w:tcBorders>
              <w:top w:val="nil"/>
              <w:left w:val="nil"/>
              <w:bottom w:val="single" w:sz="4" w:space="0" w:color="auto"/>
              <w:right w:val="single" w:sz="4" w:space="0" w:color="auto"/>
            </w:tcBorders>
            <w:shd w:val="clear" w:color="auto" w:fill="auto"/>
            <w:vAlign w:val="center"/>
          </w:tcPr>
          <w:p w14:paraId="47B20CF4" w14:textId="77777777" w:rsidR="009E4C91" w:rsidRPr="004F24F9" w:rsidRDefault="009E4C91" w:rsidP="00483C6A">
            <w:pPr>
              <w:widowControl w:val="0"/>
              <w:rPr>
                <w:rFonts w:cs="Times New Roman"/>
                <w:spacing w:val="-10"/>
                <w:sz w:val="14"/>
                <w:szCs w:val="14"/>
              </w:rPr>
            </w:pPr>
            <w:r w:rsidRPr="004F24F9">
              <w:rPr>
                <w:rFonts w:cs="Times New Roman"/>
                <w:sz w:val="14"/>
                <w:szCs w:val="14"/>
              </w:rPr>
              <w:t>10,07</w:t>
            </w:r>
          </w:p>
        </w:tc>
        <w:tc>
          <w:tcPr>
            <w:tcW w:w="346" w:type="pct"/>
            <w:tcBorders>
              <w:top w:val="nil"/>
              <w:left w:val="nil"/>
              <w:bottom w:val="single" w:sz="4" w:space="0" w:color="auto"/>
              <w:right w:val="single" w:sz="4" w:space="0" w:color="auto"/>
            </w:tcBorders>
            <w:shd w:val="clear" w:color="auto" w:fill="auto"/>
            <w:vAlign w:val="center"/>
          </w:tcPr>
          <w:p w14:paraId="14A7CA9B" w14:textId="77777777" w:rsidR="009E4C91" w:rsidRPr="004F24F9" w:rsidRDefault="009E4C91" w:rsidP="00483C6A">
            <w:pPr>
              <w:widowControl w:val="0"/>
              <w:rPr>
                <w:rFonts w:cs="Times New Roman"/>
                <w:spacing w:val="-10"/>
                <w:sz w:val="14"/>
                <w:szCs w:val="14"/>
              </w:rPr>
            </w:pPr>
            <w:r w:rsidRPr="004F24F9">
              <w:rPr>
                <w:rFonts w:cs="Times New Roman"/>
                <w:sz w:val="14"/>
                <w:szCs w:val="14"/>
              </w:rPr>
              <w:t>367.510</w:t>
            </w:r>
          </w:p>
        </w:tc>
        <w:tc>
          <w:tcPr>
            <w:tcW w:w="277" w:type="pct"/>
            <w:tcBorders>
              <w:top w:val="nil"/>
              <w:left w:val="nil"/>
              <w:bottom w:val="single" w:sz="4" w:space="0" w:color="auto"/>
              <w:right w:val="single" w:sz="4" w:space="0" w:color="auto"/>
            </w:tcBorders>
            <w:shd w:val="clear" w:color="auto" w:fill="auto"/>
            <w:vAlign w:val="center"/>
          </w:tcPr>
          <w:p w14:paraId="0414473F" w14:textId="77777777" w:rsidR="009E4C91" w:rsidRPr="004F24F9" w:rsidRDefault="009E4C91" w:rsidP="00841617">
            <w:pPr>
              <w:widowControl w:val="0"/>
              <w:jc w:val="center"/>
              <w:rPr>
                <w:rFonts w:cs="Times New Roman"/>
                <w:spacing w:val="-10"/>
                <w:sz w:val="14"/>
                <w:szCs w:val="14"/>
              </w:rPr>
            </w:pPr>
            <w:r w:rsidRPr="004F24F9">
              <w:rPr>
                <w:rFonts w:cs="Times New Roman"/>
                <w:sz w:val="14"/>
                <w:szCs w:val="14"/>
              </w:rPr>
              <w:t>16,02</w:t>
            </w:r>
          </w:p>
        </w:tc>
      </w:tr>
      <w:tr w:rsidR="004F24F9" w:rsidRPr="004F24F9" w14:paraId="1DDFEE08" w14:textId="77777777" w:rsidTr="00483C6A">
        <w:trPr>
          <w:trHeight w:val="697"/>
          <w:jc w:val="center"/>
        </w:trPr>
        <w:tc>
          <w:tcPr>
            <w:tcW w:w="344" w:type="pct"/>
            <w:tcBorders>
              <w:top w:val="nil"/>
              <w:left w:val="single" w:sz="4" w:space="0" w:color="auto"/>
              <w:bottom w:val="single" w:sz="4" w:space="0" w:color="auto"/>
              <w:right w:val="single" w:sz="4" w:space="0" w:color="auto"/>
            </w:tcBorders>
            <w:shd w:val="clear" w:color="auto" w:fill="auto"/>
            <w:vAlign w:val="center"/>
          </w:tcPr>
          <w:p w14:paraId="614A6F27" w14:textId="2ECE7626" w:rsidR="009E4C91" w:rsidRPr="004F24F9" w:rsidRDefault="009E4C91" w:rsidP="00841617">
            <w:pPr>
              <w:widowControl w:val="0"/>
              <w:jc w:val="center"/>
              <w:rPr>
                <w:rFonts w:cs="Times New Roman"/>
                <w:sz w:val="14"/>
                <w:szCs w:val="14"/>
              </w:rPr>
            </w:pPr>
            <w:r w:rsidRPr="004F24F9">
              <w:rPr>
                <w:rFonts w:cs="Times New Roman"/>
                <w:sz w:val="14"/>
                <w:szCs w:val="14"/>
              </w:rPr>
              <w:t>Nguồn vốn huy động đượ</w:t>
            </w:r>
            <w:r w:rsidR="008F191D" w:rsidRPr="004F24F9">
              <w:rPr>
                <w:rFonts w:cs="Times New Roman"/>
                <w:sz w:val="14"/>
                <w:szCs w:val="14"/>
              </w:rPr>
              <w:t>c Trung ương</w:t>
            </w:r>
            <w:r w:rsidRPr="004F24F9">
              <w:rPr>
                <w:rFonts w:cs="Times New Roman"/>
                <w:sz w:val="14"/>
                <w:szCs w:val="14"/>
              </w:rPr>
              <w:t xml:space="preserve"> cấp bù</w:t>
            </w:r>
          </w:p>
        </w:tc>
        <w:tc>
          <w:tcPr>
            <w:tcW w:w="421" w:type="pct"/>
            <w:tcBorders>
              <w:top w:val="nil"/>
              <w:left w:val="nil"/>
              <w:bottom w:val="single" w:sz="4" w:space="0" w:color="auto"/>
              <w:right w:val="single" w:sz="4" w:space="0" w:color="auto"/>
            </w:tcBorders>
            <w:shd w:val="clear" w:color="auto" w:fill="auto"/>
            <w:vAlign w:val="center"/>
          </w:tcPr>
          <w:p w14:paraId="7F971B68" w14:textId="77777777" w:rsidR="009E4C91" w:rsidRPr="004F24F9" w:rsidRDefault="009E4C91" w:rsidP="00483C6A">
            <w:pPr>
              <w:widowControl w:val="0"/>
              <w:rPr>
                <w:rFonts w:cs="Times New Roman"/>
                <w:spacing w:val="-10"/>
                <w:sz w:val="14"/>
                <w:szCs w:val="14"/>
              </w:rPr>
            </w:pPr>
            <w:r w:rsidRPr="004F24F9">
              <w:rPr>
                <w:rFonts w:cs="Times New Roman"/>
                <w:sz w:val="14"/>
                <w:szCs w:val="14"/>
              </w:rPr>
              <w:t>382.603</w:t>
            </w:r>
          </w:p>
        </w:tc>
        <w:tc>
          <w:tcPr>
            <w:tcW w:w="415" w:type="pct"/>
            <w:tcBorders>
              <w:top w:val="nil"/>
              <w:left w:val="nil"/>
              <w:bottom w:val="single" w:sz="4" w:space="0" w:color="auto"/>
              <w:right w:val="single" w:sz="4" w:space="0" w:color="auto"/>
            </w:tcBorders>
            <w:shd w:val="clear" w:color="auto" w:fill="auto"/>
            <w:vAlign w:val="center"/>
          </w:tcPr>
          <w:p w14:paraId="630368BA" w14:textId="77777777" w:rsidR="009E4C91" w:rsidRPr="004F24F9" w:rsidRDefault="009E4C91" w:rsidP="00483C6A">
            <w:pPr>
              <w:widowControl w:val="0"/>
              <w:rPr>
                <w:rFonts w:cs="Times New Roman"/>
                <w:spacing w:val="-10"/>
                <w:sz w:val="14"/>
                <w:szCs w:val="14"/>
              </w:rPr>
            </w:pPr>
            <w:r w:rsidRPr="004F24F9">
              <w:rPr>
                <w:rFonts w:cs="Times New Roman"/>
                <w:sz w:val="14"/>
                <w:szCs w:val="14"/>
              </w:rPr>
              <w:t>498.060</w:t>
            </w:r>
          </w:p>
        </w:tc>
        <w:tc>
          <w:tcPr>
            <w:tcW w:w="418" w:type="pct"/>
            <w:tcBorders>
              <w:top w:val="nil"/>
              <w:left w:val="nil"/>
              <w:bottom w:val="single" w:sz="4" w:space="0" w:color="auto"/>
              <w:right w:val="single" w:sz="4" w:space="0" w:color="auto"/>
            </w:tcBorders>
            <w:shd w:val="clear" w:color="auto" w:fill="auto"/>
            <w:vAlign w:val="center"/>
          </w:tcPr>
          <w:p w14:paraId="14D5A2D5" w14:textId="77777777" w:rsidR="009E4C91" w:rsidRPr="004F24F9" w:rsidRDefault="009E4C91" w:rsidP="00483C6A">
            <w:pPr>
              <w:widowControl w:val="0"/>
              <w:rPr>
                <w:rFonts w:cs="Times New Roman"/>
                <w:spacing w:val="-10"/>
                <w:sz w:val="14"/>
                <w:szCs w:val="14"/>
              </w:rPr>
            </w:pPr>
            <w:r w:rsidRPr="004F24F9">
              <w:rPr>
                <w:rFonts w:cs="Times New Roman"/>
                <w:sz w:val="14"/>
                <w:szCs w:val="14"/>
              </w:rPr>
              <w:t>631.934</w:t>
            </w:r>
          </w:p>
        </w:tc>
        <w:tc>
          <w:tcPr>
            <w:tcW w:w="418" w:type="pct"/>
            <w:tcBorders>
              <w:top w:val="nil"/>
              <w:left w:val="nil"/>
              <w:bottom w:val="single" w:sz="4" w:space="0" w:color="auto"/>
              <w:right w:val="single" w:sz="4" w:space="0" w:color="auto"/>
            </w:tcBorders>
            <w:shd w:val="clear" w:color="auto" w:fill="auto"/>
            <w:vAlign w:val="center"/>
          </w:tcPr>
          <w:p w14:paraId="62D47123" w14:textId="77777777" w:rsidR="009E4C91" w:rsidRPr="004F24F9" w:rsidRDefault="009E4C91" w:rsidP="00483C6A">
            <w:pPr>
              <w:widowControl w:val="0"/>
              <w:rPr>
                <w:rFonts w:cs="Times New Roman"/>
                <w:spacing w:val="-10"/>
                <w:sz w:val="14"/>
                <w:szCs w:val="14"/>
              </w:rPr>
            </w:pPr>
            <w:r w:rsidRPr="004F24F9">
              <w:rPr>
                <w:rFonts w:cs="Times New Roman"/>
                <w:sz w:val="14"/>
                <w:szCs w:val="14"/>
              </w:rPr>
              <w:t>628.193</w:t>
            </w:r>
          </w:p>
        </w:tc>
        <w:tc>
          <w:tcPr>
            <w:tcW w:w="414" w:type="pct"/>
            <w:tcBorders>
              <w:top w:val="nil"/>
              <w:left w:val="nil"/>
              <w:bottom w:val="single" w:sz="4" w:space="0" w:color="auto"/>
              <w:right w:val="single" w:sz="4" w:space="0" w:color="auto"/>
            </w:tcBorders>
            <w:shd w:val="clear" w:color="auto" w:fill="auto"/>
            <w:vAlign w:val="center"/>
          </w:tcPr>
          <w:p w14:paraId="0B05288E" w14:textId="77777777" w:rsidR="009E4C91" w:rsidRPr="004F24F9" w:rsidRDefault="009E4C91" w:rsidP="00483C6A">
            <w:pPr>
              <w:widowControl w:val="0"/>
              <w:rPr>
                <w:rFonts w:cs="Times New Roman"/>
                <w:spacing w:val="-10"/>
                <w:sz w:val="14"/>
                <w:szCs w:val="14"/>
              </w:rPr>
            </w:pPr>
            <w:r w:rsidRPr="004F24F9">
              <w:rPr>
                <w:rFonts w:cs="Times New Roman"/>
                <w:sz w:val="14"/>
                <w:szCs w:val="14"/>
              </w:rPr>
              <w:t>710.877</w:t>
            </w:r>
          </w:p>
        </w:tc>
        <w:tc>
          <w:tcPr>
            <w:tcW w:w="352" w:type="pct"/>
            <w:gridSpan w:val="2"/>
            <w:tcBorders>
              <w:top w:val="nil"/>
              <w:left w:val="nil"/>
              <w:bottom w:val="single" w:sz="4" w:space="0" w:color="auto"/>
              <w:right w:val="single" w:sz="4" w:space="0" w:color="auto"/>
            </w:tcBorders>
            <w:shd w:val="clear" w:color="auto" w:fill="auto"/>
            <w:vAlign w:val="center"/>
          </w:tcPr>
          <w:p w14:paraId="5FF18515" w14:textId="77777777" w:rsidR="009E4C91" w:rsidRPr="004F24F9" w:rsidRDefault="009E4C91" w:rsidP="00483C6A">
            <w:pPr>
              <w:widowControl w:val="0"/>
              <w:rPr>
                <w:rFonts w:cs="Times New Roman"/>
                <w:spacing w:val="-10"/>
                <w:sz w:val="14"/>
                <w:szCs w:val="14"/>
              </w:rPr>
            </w:pPr>
            <w:r w:rsidRPr="004F24F9">
              <w:rPr>
                <w:rFonts w:cs="Times New Roman"/>
                <w:sz w:val="14"/>
                <w:szCs w:val="14"/>
              </w:rPr>
              <w:t>115.457</w:t>
            </w:r>
          </w:p>
        </w:tc>
        <w:tc>
          <w:tcPr>
            <w:tcW w:w="297" w:type="pct"/>
            <w:tcBorders>
              <w:top w:val="nil"/>
              <w:left w:val="nil"/>
              <w:bottom w:val="single" w:sz="4" w:space="0" w:color="auto"/>
              <w:right w:val="single" w:sz="4" w:space="0" w:color="auto"/>
            </w:tcBorders>
            <w:shd w:val="clear" w:color="auto" w:fill="auto"/>
            <w:vAlign w:val="center"/>
          </w:tcPr>
          <w:p w14:paraId="4F8B6AFE" w14:textId="77777777" w:rsidR="009E4C91" w:rsidRPr="004F24F9" w:rsidRDefault="009E4C91" w:rsidP="00483C6A">
            <w:pPr>
              <w:widowControl w:val="0"/>
              <w:rPr>
                <w:rFonts w:cs="Times New Roman"/>
                <w:spacing w:val="-10"/>
                <w:sz w:val="14"/>
                <w:szCs w:val="14"/>
              </w:rPr>
            </w:pPr>
            <w:r w:rsidRPr="004F24F9">
              <w:rPr>
                <w:rFonts w:cs="Times New Roman"/>
                <w:sz w:val="14"/>
                <w:szCs w:val="14"/>
              </w:rPr>
              <w:t>30,18</w:t>
            </w:r>
          </w:p>
        </w:tc>
        <w:tc>
          <w:tcPr>
            <w:tcW w:w="346" w:type="pct"/>
            <w:tcBorders>
              <w:top w:val="nil"/>
              <w:left w:val="nil"/>
              <w:bottom w:val="single" w:sz="4" w:space="0" w:color="auto"/>
              <w:right w:val="single" w:sz="4" w:space="0" w:color="auto"/>
            </w:tcBorders>
            <w:shd w:val="clear" w:color="auto" w:fill="auto"/>
            <w:vAlign w:val="center"/>
          </w:tcPr>
          <w:p w14:paraId="32946F7C" w14:textId="77777777" w:rsidR="009E4C91" w:rsidRPr="004F24F9" w:rsidRDefault="009E4C91" w:rsidP="00483C6A">
            <w:pPr>
              <w:widowControl w:val="0"/>
              <w:rPr>
                <w:rFonts w:cs="Times New Roman"/>
                <w:spacing w:val="-10"/>
                <w:sz w:val="14"/>
                <w:szCs w:val="14"/>
              </w:rPr>
            </w:pPr>
            <w:r w:rsidRPr="004F24F9">
              <w:rPr>
                <w:rFonts w:cs="Times New Roman"/>
                <w:sz w:val="14"/>
                <w:szCs w:val="14"/>
              </w:rPr>
              <w:t>133.874</w:t>
            </w:r>
          </w:p>
        </w:tc>
        <w:tc>
          <w:tcPr>
            <w:tcW w:w="284" w:type="pct"/>
            <w:tcBorders>
              <w:top w:val="nil"/>
              <w:left w:val="nil"/>
              <w:bottom w:val="single" w:sz="4" w:space="0" w:color="auto"/>
              <w:right w:val="single" w:sz="4" w:space="0" w:color="auto"/>
            </w:tcBorders>
            <w:shd w:val="clear" w:color="auto" w:fill="auto"/>
            <w:vAlign w:val="center"/>
          </w:tcPr>
          <w:p w14:paraId="0385C064" w14:textId="77777777" w:rsidR="009E4C91" w:rsidRPr="004F24F9" w:rsidRDefault="009E4C91" w:rsidP="00483C6A">
            <w:pPr>
              <w:widowControl w:val="0"/>
              <w:rPr>
                <w:rFonts w:cs="Times New Roman"/>
                <w:spacing w:val="-10"/>
                <w:sz w:val="14"/>
                <w:szCs w:val="14"/>
              </w:rPr>
            </w:pPr>
            <w:r w:rsidRPr="004F24F9">
              <w:rPr>
                <w:rFonts w:cs="Times New Roman"/>
                <w:sz w:val="14"/>
                <w:szCs w:val="14"/>
              </w:rPr>
              <w:t>26,88</w:t>
            </w:r>
          </w:p>
        </w:tc>
        <w:tc>
          <w:tcPr>
            <w:tcW w:w="392" w:type="pct"/>
            <w:tcBorders>
              <w:top w:val="nil"/>
              <w:left w:val="nil"/>
              <w:bottom w:val="single" w:sz="4" w:space="0" w:color="auto"/>
              <w:right w:val="single" w:sz="4" w:space="0" w:color="auto"/>
            </w:tcBorders>
            <w:shd w:val="clear" w:color="auto" w:fill="auto"/>
            <w:vAlign w:val="center"/>
          </w:tcPr>
          <w:p w14:paraId="3D3275B9" w14:textId="77777777" w:rsidR="009E4C91" w:rsidRPr="004F24F9" w:rsidRDefault="009E4C91" w:rsidP="00483C6A">
            <w:pPr>
              <w:widowControl w:val="0"/>
              <w:rPr>
                <w:rFonts w:cs="Times New Roman"/>
                <w:spacing w:val="-10"/>
                <w:sz w:val="14"/>
                <w:szCs w:val="14"/>
              </w:rPr>
            </w:pPr>
            <w:r w:rsidRPr="004F24F9">
              <w:rPr>
                <w:rFonts w:cs="Times New Roman"/>
                <w:sz w:val="14"/>
                <w:szCs w:val="14"/>
              </w:rPr>
              <w:t>-3.740</w:t>
            </w:r>
          </w:p>
        </w:tc>
        <w:tc>
          <w:tcPr>
            <w:tcW w:w="278" w:type="pct"/>
            <w:tcBorders>
              <w:top w:val="nil"/>
              <w:left w:val="nil"/>
              <w:bottom w:val="single" w:sz="4" w:space="0" w:color="auto"/>
              <w:right w:val="single" w:sz="4" w:space="0" w:color="auto"/>
            </w:tcBorders>
            <w:shd w:val="clear" w:color="auto" w:fill="auto"/>
            <w:vAlign w:val="center"/>
          </w:tcPr>
          <w:p w14:paraId="53DB194A" w14:textId="77777777" w:rsidR="009E4C91" w:rsidRPr="004F24F9" w:rsidRDefault="009E4C91" w:rsidP="00483C6A">
            <w:pPr>
              <w:widowControl w:val="0"/>
              <w:rPr>
                <w:rFonts w:cs="Times New Roman"/>
                <w:spacing w:val="-10"/>
                <w:sz w:val="14"/>
                <w:szCs w:val="14"/>
              </w:rPr>
            </w:pPr>
            <w:r w:rsidRPr="004F24F9">
              <w:rPr>
                <w:rFonts w:cs="Times New Roman"/>
                <w:sz w:val="14"/>
                <w:szCs w:val="14"/>
              </w:rPr>
              <w:t>-0,59</w:t>
            </w:r>
          </w:p>
        </w:tc>
        <w:tc>
          <w:tcPr>
            <w:tcW w:w="346" w:type="pct"/>
            <w:tcBorders>
              <w:top w:val="nil"/>
              <w:left w:val="nil"/>
              <w:bottom w:val="single" w:sz="4" w:space="0" w:color="auto"/>
              <w:right w:val="single" w:sz="4" w:space="0" w:color="auto"/>
            </w:tcBorders>
            <w:shd w:val="clear" w:color="auto" w:fill="auto"/>
            <w:vAlign w:val="center"/>
          </w:tcPr>
          <w:p w14:paraId="176618FB" w14:textId="77777777" w:rsidR="009E4C91" w:rsidRPr="004F24F9" w:rsidRDefault="009E4C91" w:rsidP="00483C6A">
            <w:pPr>
              <w:widowControl w:val="0"/>
              <w:rPr>
                <w:rFonts w:cs="Times New Roman"/>
                <w:spacing w:val="-10"/>
                <w:sz w:val="14"/>
                <w:szCs w:val="14"/>
              </w:rPr>
            </w:pPr>
            <w:r w:rsidRPr="004F24F9">
              <w:rPr>
                <w:rFonts w:cs="Times New Roman"/>
                <w:sz w:val="14"/>
                <w:szCs w:val="14"/>
              </w:rPr>
              <w:t>82.683</w:t>
            </w:r>
          </w:p>
        </w:tc>
        <w:tc>
          <w:tcPr>
            <w:tcW w:w="277" w:type="pct"/>
            <w:tcBorders>
              <w:top w:val="nil"/>
              <w:left w:val="nil"/>
              <w:bottom w:val="single" w:sz="4" w:space="0" w:color="auto"/>
              <w:right w:val="single" w:sz="4" w:space="0" w:color="auto"/>
            </w:tcBorders>
            <w:shd w:val="clear" w:color="auto" w:fill="auto"/>
            <w:vAlign w:val="center"/>
          </w:tcPr>
          <w:p w14:paraId="42D91AA4" w14:textId="77777777" w:rsidR="009E4C91" w:rsidRPr="004F24F9" w:rsidRDefault="009E4C91" w:rsidP="00841617">
            <w:pPr>
              <w:widowControl w:val="0"/>
              <w:jc w:val="center"/>
              <w:rPr>
                <w:rFonts w:cs="Times New Roman"/>
                <w:spacing w:val="-10"/>
                <w:sz w:val="14"/>
                <w:szCs w:val="14"/>
              </w:rPr>
            </w:pPr>
            <w:r w:rsidRPr="004F24F9">
              <w:rPr>
                <w:rFonts w:cs="Times New Roman"/>
                <w:sz w:val="14"/>
                <w:szCs w:val="14"/>
              </w:rPr>
              <w:t>13,16</w:t>
            </w:r>
          </w:p>
        </w:tc>
      </w:tr>
      <w:tr w:rsidR="004F24F9" w:rsidRPr="004F24F9" w14:paraId="0BAAFA2B" w14:textId="77777777" w:rsidTr="00483C6A">
        <w:trPr>
          <w:trHeight w:val="706"/>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32BB6453" w14:textId="77777777" w:rsidR="009E4C91" w:rsidRPr="004F24F9" w:rsidRDefault="009E4C91" w:rsidP="00841617">
            <w:pPr>
              <w:widowControl w:val="0"/>
              <w:jc w:val="center"/>
              <w:rPr>
                <w:rFonts w:cs="Times New Roman"/>
                <w:spacing w:val="-10"/>
                <w:sz w:val="14"/>
                <w:szCs w:val="14"/>
              </w:rPr>
            </w:pPr>
            <w:r w:rsidRPr="004F24F9">
              <w:rPr>
                <w:rFonts w:cs="Times New Roman"/>
                <w:spacing w:val="-10"/>
                <w:sz w:val="14"/>
                <w:szCs w:val="14"/>
              </w:rPr>
              <w:t>Nguồn vốn ủy thác từ NS địa phương</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A049F90" w14:textId="77777777" w:rsidR="009E4C91" w:rsidRPr="004F24F9" w:rsidRDefault="009E4C91" w:rsidP="00483C6A">
            <w:pPr>
              <w:widowControl w:val="0"/>
              <w:rPr>
                <w:rFonts w:cs="Times New Roman"/>
                <w:spacing w:val="-10"/>
                <w:sz w:val="14"/>
                <w:szCs w:val="14"/>
              </w:rPr>
            </w:pPr>
            <w:r w:rsidRPr="004F24F9">
              <w:rPr>
                <w:rFonts w:cs="Times New Roman"/>
                <w:sz w:val="14"/>
                <w:szCs w:val="14"/>
              </w:rPr>
              <w:t>442.784</w:t>
            </w:r>
          </w:p>
        </w:tc>
        <w:tc>
          <w:tcPr>
            <w:tcW w:w="415" w:type="pct"/>
            <w:tcBorders>
              <w:top w:val="single" w:sz="4" w:space="0" w:color="auto"/>
              <w:left w:val="nil"/>
              <w:bottom w:val="single" w:sz="4" w:space="0" w:color="auto"/>
              <w:right w:val="single" w:sz="4" w:space="0" w:color="auto"/>
            </w:tcBorders>
            <w:shd w:val="clear" w:color="auto" w:fill="auto"/>
            <w:vAlign w:val="center"/>
          </w:tcPr>
          <w:p w14:paraId="7E6A483A" w14:textId="77777777" w:rsidR="009E4C91" w:rsidRPr="004F24F9" w:rsidRDefault="009E4C91" w:rsidP="00483C6A">
            <w:pPr>
              <w:widowControl w:val="0"/>
              <w:rPr>
                <w:rFonts w:cs="Times New Roman"/>
                <w:spacing w:val="-10"/>
                <w:sz w:val="14"/>
                <w:szCs w:val="14"/>
              </w:rPr>
            </w:pPr>
            <w:r w:rsidRPr="004F24F9">
              <w:rPr>
                <w:rFonts w:cs="Times New Roman"/>
                <w:sz w:val="14"/>
                <w:szCs w:val="14"/>
              </w:rPr>
              <w:t>591.201</w:t>
            </w:r>
          </w:p>
        </w:tc>
        <w:tc>
          <w:tcPr>
            <w:tcW w:w="418" w:type="pct"/>
            <w:tcBorders>
              <w:top w:val="single" w:sz="4" w:space="0" w:color="auto"/>
              <w:left w:val="nil"/>
              <w:bottom w:val="single" w:sz="4" w:space="0" w:color="auto"/>
              <w:right w:val="single" w:sz="4" w:space="0" w:color="auto"/>
            </w:tcBorders>
            <w:shd w:val="clear" w:color="auto" w:fill="auto"/>
            <w:vAlign w:val="center"/>
          </w:tcPr>
          <w:p w14:paraId="4E61CF02" w14:textId="77777777" w:rsidR="009E4C91" w:rsidRPr="004F24F9" w:rsidRDefault="009E4C91" w:rsidP="00483C6A">
            <w:pPr>
              <w:widowControl w:val="0"/>
              <w:rPr>
                <w:rFonts w:cs="Times New Roman"/>
                <w:spacing w:val="-10"/>
                <w:sz w:val="14"/>
                <w:szCs w:val="14"/>
              </w:rPr>
            </w:pPr>
            <w:r w:rsidRPr="004F24F9">
              <w:rPr>
                <w:rFonts w:cs="Times New Roman"/>
                <w:sz w:val="14"/>
                <w:szCs w:val="14"/>
              </w:rPr>
              <w:t>757.346</w:t>
            </w:r>
          </w:p>
        </w:tc>
        <w:tc>
          <w:tcPr>
            <w:tcW w:w="418" w:type="pct"/>
            <w:tcBorders>
              <w:top w:val="single" w:sz="4" w:space="0" w:color="auto"/>
              <w:left w:val="nil"/>
              <w:bottom w:val="single" w:sz="4" w:space="0" w:color="auto"/>
              <w:right w:val="single" w:sz="4" w:space="0" w:color="auto"/>
            </w:tcBorders>
            <w:shd w:val="clear" w:color="auto" w:fill="auto"/>
            <w:vAlign w:val="center"/>
          </w:tcPr>
          <w:p w14:paraId="194F55F9" w14:textId="77777777" w:rsidR="009E4C91" w:rsidRPr="004F24F9" w:rsidRDefault="009E4C91" w:rsidP="00483C6A">
            <w:pPr>
              <w:widowControl w:val="0"/>
              <w:rPr>
                <w:rFonts w:cs="Times New Roman"/>
                <w:spacing w:val="-10"/>
                <w:sz w:val="14"/>
                <w:szCs w:val="14"/>
              </w:rPr>
            </w:pPr>
            <w:r w:rsidRPr="004F24F9">
              <w:rPr>
                <w:rFonts w:cs="Times New Roman"/>
                <w:sz w:val="14"/>
                <w:szCs w:val="14"/>
              </w:rPr>
              <w:t>1.004.378</w:t>
            </w:r>
          </w:p>
        </w:tc>
        <w:tc>
          <w:tcPr>
            <w:tcW w:w="414" w:type="pct"/>
            <w:tcBorders>
              <w:top w:val="single" w:sz="4" w:space="0" w:color="auto"/>
              <w:left w:val="nil"/>
              <w:bottom w:val="single" w:sz="4" w:space="0" w:color="auto"/>
              <w:right w:val="single" w:sz="4" w:space="0" w:color="auto"/>
            </w:tcBorders>
            <w:shd w:val="clear" w:color="auto" w:fill="auto"/>
            <w:vAlign w:val="center"/>
          </w:tcPr>
          <w:p w14:paraId="13A1E78F" w14:textId="77777777" w:rsidR="009E4C91" w:rsidRPr="004F24F9" w:rsidRDefault="009E4C91" w:rsidP="00483C6A">
            <w:pPr>
              <w:widowControl w:val="0"/>
              <w:rPr>
                <w:rFonts w:cs="Times New Roman"/>
                <w:spacing w:val="-10"/>
                <w:sz w:val="14"/>
                <w:szCs w:val="14"/>
              </w:rPr>
            </w:pPr>
            <w:r w:rsidRPr="004F24F9">
              <w:rPr>
                <w:rFonts w:cs="Times New Roman"/>
                <w:sz w:val="14"/>
                <w:szCs w:val="14"/>
              </w:rPr>
              <w:t>1.238.907</w:t>
            </w:r>
          </w:p>
        </w:tc>
        <w:tc>
          <w:tcPr>
            <w:tcW w:w="352" w:type="pct"/>
            <w:gridSpan w:val="2"/>
            <w:tcBorders>
              <w:top w:val="nil"/>
              <w:left w:val="nil"/>
              <w:bottom w:val="single" w:sz="4" w:space="0" w:color="auto"/>
              <w:right w:val="single" w:sz="4" w:space="0" w:color="auto"/>
            </w:tcBorders>
            <w:shd w:val="clear" w:color="auto" w:fill="auto"/>
            <w:vAlign w:val="center"/>
          </w:tcPr>
          <w:p w14:paraId="453D11F8" w14:textId="77777777" w:rsidR="009E4C91" w:rsidRPr="004F24F9" w:rsidRDefault="009E4C91" w:rsidP="00483C6A">
            <w:pPr>
              <w:widowControl w:val="0"/>
              <w:rPr>
                <w:rFonts w:cs="Times New Roman"/>
                <w:spacing w:val="-10"/>
                <w:sz w:val="14"/>
                <w:szCs w:val="14"/>
              </w:rPr>
            </w:pPr>
            <w:r w:rsidRPr="004F24F9">
              <w:rPr>
                <w:rFonts w:cs="Times New Roman"/>
                <w:sz w:val="14"/>
                <w:szCs w:val="14"/>
              </w:rPr>
              <w:t>148.417</w:t>
            </w:r>
          </w:p>
        </w:tc>
        <w:tc>
          <w:tcPr>
            <w:tcW w:w="297" w:type="pct"/>
            <w:tcBorders>
              <w:top w:val="nil"/>
              <w:left w:val="nil"/>
              <w:bottom w:val="single" w:sz="4" w:space="0" w:color="auto"/>
              <w:right w:val="single" w:sz="4" w:space="0" w:color="auto"/>
            </w:tcBorders>
            <w:shd w:val="clear" w:color="auto" w:fill="auto"/>
            <w:vAlign w:val="center"/>
          </w:tcPr>
          <w:p w14:paraId="52E739B3" w14:textId="77777777" w:rsidR="009E4C91" w:rsidRPr="004F24F9" w:rsidRDefault="009E4C91" w:rsidP="00483C6A">
            <w:pPr>
              <w:widowControl w:val="0"/>
              <w:rPr>
                <w:rFonts w:cs="Times New Roman"/>
                <w:spacing w:val="-10"/>
                <w:sz w:val="14"/>
                <w:szCs w:val="14"/>
              </w:rPr>
            </w:pPr>
            <w:r w:rsidRPr="004F24F9">
              <w:rPr>
                <w:rFonts w:cs="Times New Roman"/>
                <w:sz w:val="14"/>
                <w:szCs w:val="14"/>
              </w:rPr>
              <w:t>33,52</w:t>
            </w:r>
          </w:p>
        </w:tc>
        <w:tc>
          <w:tcPr>
            <w:tcW w:w="346" w:type="pct"/>
            <w:tcBorders>
              <w:top w:val="nil"/>
              <w:left w:val="nil"/>
              <w:bottom w:val="single" w:sz="4" w:space="0" w:color="auto"/>
              <w:right w:val="single" w:sz="4" w:space="0" w:color="auto"/>
            </w:tcBorders>
            <w:shd w:val="clear" w:color="auto" w:fill="auto"/>
            <w:vAlign w:val="center"/>
          </w:tcPr>
          <w:p w14:paraId="0B9D635E" w14:textId="77777777" w:rsidR="009E4C91" w:rsidRPr="004F24F9" w:rsidRDefault="009E4C91" w:rsidP="00483C6A">
            <w:pPr>
              <w:widowControl w:val="0"/>
              <w:rPr>
                <w:rFonts w:cs="Times New Roman"/>
                <w:spacing w:val="-10"/>
                <w:sz w:val="14"/>
                <w:szCs w:val="14"/>
              </w:rPr>
            </w:pPr>
            <w:r w:rsidRPr="004F24F9">
              <w:rPr>
                <w:rFonts w:cs="Times New Roman"/>
                <w:sz w:val="14"/>
                <w:szCs w:val="14"/>
              </w:rPr>
              <w:t>166.145</w:t>
            </w:r>
          </w:p>
        </w:tc>
        <w:tc>
          <w:tcPr>
            <w:tcW w:w="284" w:type="pct"/>
            <w:tcBorders>
              <w:top w:val="nil"/>
              <w:left w:val="nil"/>
              <w:bottom w:val="single" w:sz="4" w:space="0" w:color="auto"/>
              <w:right w:val="single" w:sz="4" w:space="0" w:color="auto"/>
            </w:tcBorders>
            <w:shd w:val="clear" w:color="auto" w:fill="auto"/>
            <w:vAlign w:val="center"/>
          </w:tcPr>
          <w:p w14:paraId="2FF9D0BC" w14:textId="77777777" w:rsidR="009E4C91" w:rsidRPr="004F24F9" w:rsidRDefault="009E4C91" w:rsidP="00483C6A">
            <w:pPr>
              <w:widowControl w:val="0"/>
              <w:rPr>
                <w:rFonts w:cs="Times New Roman"/>
                <w:spacing w:val="-10"/>
                <w:sz w:val="14"/>
                <w:szCs w:val="14"/>
              </w:rPr>
            </w:pPr>
            <w:r w:rsidRPr="004F24F9">
              <w:rPr>
                <w:rFonts w:cs="Times New Roman"/>
                <w:sz w:val="14"/>
                <w:szCs w:val="14"/>
              </w:rPr>
              <w:t>28,10</w:t>
            </w:r>
          </w:p>
        </w:tc>
        <w:tc>
          <w:tcPr>
            <w:tcW w:w="392" w:type="pct"/>
            <w:tcBorders>
              <w:top w:val="nil"/>
              <w:left w:val="nil"/>
              <w:bottom w:val="single" w:sz="4" w:space="0" w:color="auto"/>
              <w:right w:val="single" w:sz="4" w:space="0" w:color="auto"/>
            </w:tcBorders>
            <w:shd w:val="clear" w:color="auto" w:fill="auto"/>
            <w:vAlign w:val="center"/>
          </w:tcPr>
          <w:p w14:paraId="1DC98FFF" w14:textId="77777777" w:rsidR="009E4C91" w:rsidRPr="004F24F9" w:rsidRDefault="009E4C91" w:rsidP="00483C6A">
            <w:pPr>
              <w:widowControl w:val="0"/>
              <w:rPr>
                <w:rFonts w:cs="Times New Roman"/>
                <w:spacing w:val="-10"/>
                <w:sz w:val="14"/>
                <w:szCs w:val="14"/>
              </w:rPr>
            </w:pPr>
            <w:r w:rsidRPr="004F24F9">
              <w:rPr>
                <w:rFonts w:cs="Times New Roman"/>
                <w:sz w:val="14"/>
                <w:szCs w:val="14"/>
              </w:rPr>
              <w:t>247.032</w:t>
            </w:r>
          </w:p>
        </w:tc>
        <w:tc>
          <w:tcPr>
            <w:tcW w:w="278" w:type="pct"/>
            <w:tcBorders>
              <w:top w:val="nil"/>
              <w:left w:val="nil"/>
              <w:bottom w:val="single" w:sz="4" w:space="0" w:color="auto"/>
              <w:right w:val="single" w:sz="4" w:space="0" w:color="auto"/>
            </w:tcBorders>
            <w:shd w:val="clear" w:color="auto" w:fill="auto"/>
            <w:vAlign w:val="center"/>
          </w:tcPr>
          <w:p w14:paraId="58A5D8FD" w14:textId="77777777" w:rsidR="009E4C91" w:rsidRPr="004F24F9" w:rsidRDefault="009E4C91" w:rsidP="00483C6A">
            <w:pPr>
              <w:widowControl w:val="0"/>
              <w:rPr>
                <w:rFonts w:cs="Times New Roman"/>
                <w:spacing w:val="-10"/>
                <w:sz w:val="14"/>
                <w:szCs w:val="14"/>
              </w:rPr>
            </w:pPr>
            <w:r w:rsidRPr="004F24F9">
              <w:rPr>
                <w:rFonts w:cs="Times New Roman"/>
                <w:sz w:val="14"/>
                <w:szCs w:val="14"/>
              </w:rPr>
              <w:t>32,62</w:t>
            </w:r>
          </w:p>
        </w:tc>
        <w:tc>
          <w:tcPr>
            <w:tcW w:w="346" w:type="pct"/>
            <w:tcBorders>
              <w:top w:val="nil"/>
              <w:left w:val="nil"/>
              <w:bottom w:val="single" w:sz="4" w:space="0" w:color="auto"/>
              <w:right w:val="single" w:sz="4" w:space="0" w:color="auto"/>
            </w:tcBorders>
            <w:shd w:val="clear" w:color="auto" w:fill="auto"/>
            <w:vAlign w:val="center"/>
          </w:tcPr>
          <w:p w14:paraId="6D825A51" w14:textId="77777777" w:rsidR="009E4C91" w:rsidRPr="004F24F9" w:rsidRDefault="009E4C91" w:rsidP="00483C6A">
            <w:pPr>
              <w:widowControl w:val="0"/>
              <w:rPr>
                <w:rFonts w:cs="Times New Roman"/>
                <w:spacing w:val="-10"/>
                <w:sz w:val="14"/>
                <w:szCs w:val="14"/>
              </w:rPr>
            </w:pPr>
            <w:r w:rsidRPr="004F24F9">
              <w:rPr>
                <w:rFonts w:cs="Times New Roman"/>
                <w:sz w:val="14"/>
                <w:szCs w:val="14"/>
              </w:rPr>
              <w:t>234.529</w:t>
            </w:r>
          </w:p>
        </w:tc>
        <w:tc>
          <w:tcPr>
            <w:tcW w:w="277" w:type="pct"/>
            <w:tcBorders>
              <w:top w:val="nil"/>
              <w:left w:val="nil"/>
              <w:bottom w:val="single" w:sz="4" w:space="0" w:color="auto"/>
              <w:right w:val="single" w:sz="4" w:space="0" w:color="auto"/>
            </w:tcBorders>
            <w:shd w:val="clear" w:color="auto" w:fill="auto"/>
            <w:vAlign w:val="center"/>
          </w:tcPr>
          <w:p w14:paraId="3CCFD1A8" w14:textId="77777777" w:rsidR="009E4C91" w:rsidRPr="004F24F9" w:rsidRDefault="009E4C91" w:rsidP="00841617">
            <w:pPr>
              <w:widowControl w:val="0"/>
              <w:jc w:val="center"/>
              <w:rPr>
                <w:rFonts w:cs="Times New Roman"/>
                <w:spacing w:val="-10"/>
                <w:sz w:val="14"/>
                <w:szCs w:val="14"/>
              </w:rPr>
            </w:pPr>
            <w:r w:rsidRPr="004F24F9">
              <w:rPr>
                <w:rFonts w:cs="Times New Roman"/>
                <w:sz w:val="14"/>
                <w:szCs w:val="14"/>
              </w:rPr>
              <w:t>23,35</w:t>
            </w:r>
          </w:p>
        </w:tc>
      </w:tr>
      <w:tr w:rsidR="004F24F9" w:rsidRPr="004F24F9" w14:paraId="2DCF3335" w14:textId="77777777" w:rsidTr="00483C6A">
        <w:trPr>
          <w:trHeight w:val="422"/>
          <w:jc w:val="center"/>
        </w:trPr>
        <w:tc>
          <w:tcPr>
            <w:tcW w:w="344" w:type="pct"/>
            <w:tcBorders>
              <w:top w:val="nil"/>
              <w:left w:val="single" w:sz="4" w:space="0" w:color="auto"/>
              <w:bottom w:val="single" w:sz="4" w:space="0" w:color="auto"/>
              <w:right w:val="single" w:sz="4" w:space="0" w:color="auto"/>
            </w:tcBorders>
            <w:shd w:val="clear" w:color="auto" w:fill="auto"/>
            <w:vAlign w:val="center"/>
            <w:hideMark/>
          </w:tcPr>
          <w:p w14:paraId="394BF8D2" w14:textId="77777777" w:rsidR="009E4C91" w:rsidRPr="004F24F9" w:rsidRDefault="009E4C91" w:rsidP="00841617">
            <w:pPr>
              <w:widowControl w:val="0"/>
              <w:jc w:val="center"/>
              <w:rPr>
                <w:rFonts w:cs="Times New Roman"/>
                <w:b/>
                <w:bCs/>
                <w:sz w:val="14"/>
                <w:szCs w:val="14"/>
              </w:rPr>
            </w:pPr>
            <w:r w:rsidRPr="004F24F9">
              <w:rPr>
                <w:rFonts w:cs="Times New Roman"/>
                <w:b/>
                <w:bCs/>
                <w:sz w:val="14"/>
                <w:szCs w:val="14"/>
              </w:rPr>
              <w:t>Tổng cộng</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568C8"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2.534.040</w:t>
            </w:r>
          </w:p>
        </w:tc>
        <w:tc>
          <w:tcPr>
            <w:tcW w:w="415" w:type="pct"/>
            <w:tcBorders>
              <w:top w:val="single" w:sz="4" w:space="0" w:color="auto"/>
              <w:left w:val="nil"/>
              <w:bottom w:val="single" w:sz="4" w:space="0" w:color="auto"/>
              <w:right w:val="single" w:sz="4" w:space="0" w:color="auto"/>
            </w:tcBorders>
            <w:shd w:val="clear" w:color="auto" w:fill="auto"/>
            <w:vAlign w:val="center"/>
          </w:tcPr>
          <w:p w14:paraId="28E187FD"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2.856.796</w:t>
            </w:r>
          </w:p>
        </w:tc>
        <w:tc>
          <w:tcPr>
            <w:tcW w:w="418" w:type="pct"/>
            <w:tcBorders>
              <w:top w:val="single" w:sz="4" w:space="0" w:color="auto"/>
              <w:left w:val="nil"/>
              <w:bottom w:val="single" w:sz="4" w:space="0" w:color="auto"/>
              <w:right w:val="single" w:sz="4" w:space="0" w:color="auto"/>
            </w:tcBorders>
            <w:shd w:val="clear" w:color="auto" w:fill="auto"/>
            <w:vAlign w:val="center"/>
          </w:tcPr>
          <w:p w14:paraId="6F2ACBC0"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3.583.302</w:t>
            </w:r>
          </w:p>
        </w:tc>
        <w:tc>
          <w:tcPr>
            <w:tcW w:w="418" w:type="pct"/>
            <w:tcBorders>
              <w:top w:val="single" w:sz="4" w:space="0" w:color="auto"/>
              <w:left w:val="nil"/>
              <w:bottom w:val="single" w:sz="4" w:space="0" w:color="auto"/>
              <w:right w:val="single" w:sz="4" w:space="0" w:color="auto"/>
            </w:tcBorders>
            <w:shd w:val="clear" w:color="auto" w:fill="auto"/>
            <w:vAlign w:val="center"/>
          </w:tcPr>
          <w:p w14:paraId="57D77298"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4.027.517</w:t>
            </w:r>
          </w:p>
        </w:tc>
        <w:tc>
          <w:tcPr>
            <w:tcW w:w="414" w:type="pct"/>
            <w:tcBorders>
              <w:top w:val="single" w:sz="4" w:space="0" w:color="auto"/>
              <w:left w:val="nil"/>
              <w:bottom w:val="single" w:sz="4" w:space="0" w:color="auto"/>
              <w:right w:val="single" w:sz="4" w:space="0" w:color="auto"/>
            </w:tcBorders>
            <w:shd w:val="clear" w:color="auto" w:fill="auto"/>
            <w:vAlign w:val="center"/>
          </w:tcPr>
          <w:p w14:paraId="7F541625"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4.986.721</w:t>
            </w:r>
          </w:p>
        </w:tc>
        <w:tc>
          <w:tcPr>
            <w:tcW w:w="352" w:type="pct"/>
            <w:gridSpan w:val="2"/>
            <w:tcBorders>
              <w:top w:val="nil"/>
              <w:left w:val="nil"/>
              <w:bottom w:val="single" w:sz="4" w:space="0" w:color="auto"/>
              <w:right w:val="single" w:sz="4" w:space="0" w:color="auto"/>
            </w:tcBorders>
            <w:shd w:val="clear" w:color="auto" w:fill="auto"/>
            <w:vAlign w:val="center"/>
          </w:tcPr>
          <w:p w14:paraId="57E27CFB"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322.755</w:t>
            </w:r>
          </w:p>
        </w:tc>
        <w:tc>
          <w:tcPr>
            <w:tcW w:w="297" w:type="pct"/>
            <w:tcBorders>
              <w:top w:val="nil"/>
              <w:left w:val="nil"/>
              <w:bottom w:val="single" w:sz="4" w:space="0" w:color="auto"/>
              <w:right w:val="single" w:sz="4" w:space="0" w:color="auto"/>
            </w:tcBorders>
            <w:shd w:val="clear" w:color="auto" w:fill="auto"/>
            <w:vAlign w:val="center"/>
          </w:tcPr>
          <w:p w14:paraId="26E1869F"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12,74</w:t>
            </w:r>
          </w:p>
        </w:tc>
        <w:tc>
          <w:tcPr>
            <w:tcW w:w="346" w:type="pct"/>
            <w:tcBorders>
              <w:top w:val="nil"/>
              <w:left w:val="nil"/>
              <w:bottom w:val="single" w:sz="4" w:space="0" w:color="auto"/>
              <w:right w:val="single" w:sz="4" w:space="0" w:color="auto"/>
            </w:tcBorders>
            <w:shd w:val="clear" w:color="auto" w:fill="auto"/>
            <w:vAlign w:val="center"/>
          </w:tcPr>
          <w:p w14:paraId="34F648A5"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726.506</w:t>
            </w:r>
          </w:p>
        </w:tc>
        <w:tc>
          <w:tcPr>
            <w:tcW w:w="284" w:type="pct"/>
            <w:tcBorders>
              <w:top w:val="nil"/>
              <w:left w:val="nil"/>
              <w:bottom w:val="single" w:sz="4" w:space="0" w:color="auto"/>
              <w:right w:val="single" w:sz="4" w:space="0" w:color="auto"/>
            </w:tcBorders>
            <w:shd w:val="clear" w:color="auto" w:fill="auto"/>
            <w:vAlign w:val="center"/>
          </w:tcPr>
          <w:p w14:paraId="674DB556"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25,43</w:t>
            </w:r>
          </w:p>
        </w:tc>
        <w:tc>
          <w:tcPr>
            <w:tcW w:w="392" w:type="pct"/>
            <w:tcBorders>
              <w:top w:val="nil"/>
              <w:left w:val="nil"/>
              <w:bottom w:val="single" w:sz="4" w:space="0" w:color="auto"/>
              <w:right w:val="single" w:sz="4" w:space="0" w:color="auto"/>
            </w:tcBorders>
            <w:shd w:val="clear" w:color="auto" w:fill="auto"/>
            <w:vAlign w:val="center"/>
          </w:tcPr>
          <w:p w14:paraId="2B328474"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444.215</w:t>
            </w:r>
          </w:p>
        </w:tc>
        <w:tc>
          <w:tcPr>
            <w:tcW w:w="278" w:type="pct"/>
            <w:tcBorders>
              <w:top w:val="nil"/>
              <w:left w:val="nil"/>
              <w:bottom w:val="single" w:sz="4" w:space="0" w:color="auto"/>
              <w:right w:val="single" w:sz="4" w:space="0" w:color="auto"/>
            </w:tcBorders>
            <w:shd w:val="clear" w:color="auto" w:fill="auto"/>
            <w:vAlign w:val="center"/>
          </w:tcPr>
          <w:p w14:paraId="4C10124F"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12,40</w:t>
            </w:r>
          </w:p>
        </w:tc>
        <w:tc>
          <w:tcPr>
            <w:tcW w:w="346" w:type="pct"/>
            <w:tcBorders>
              <w:top w:val="nil"/>
              <w:left w:val="nil"/>
              <w:bottom w:val="single" w:sz="4" w:space="0" w:color="auto"/>
              <w:right w:val="single" w:sz="4" w:space="0" w:color="auto"/>
            </w:tcBorders>
            <w:shd w:val="clear" w:color="auto" w:fill="auto"/>
            <w:vAlign w:val="center"/>
          </w:tcPr>
          <w:p w14:paraId="1F9B3512" w14:textId="77777777" w:rsidR="009E4C91" w:rsidRPr="004F24F9" w:rsidRDefault="009E4C91" w:rsidP="00483C6A">
            <w:pPr>
              <w:widowControl w:val="0"/>
              <w:rPr>
                <w:rFonts w:cs="Times New Roman"/>
                <w:bCs/>
                <w:spacing w:val="-10"/>
                <w:sz w:val="14"/>
                <w:szCs w:val="14"/>
              </w:rPr>
            </w:pPr>
            <w:r w:rsidRPr="004F24F9">
              <w:rPr>
                <w:rFonts w:cs="Times New Roman"/>
                <w:bCs/>
                <w:sz w:val="14"/>
                <w:szCs w:val="14"/>
              </w:rPr>
              <w:t>959.204</w:t>
            </w:r>
          </w:p>
        </w:tc>
        <w:tc>
          <w:tcPr>
            <w:tcW w:w="277" w:type="pct"/>
            <w:tcBorders>
              <w:top w:val="nil"/>
              <w:left w:val="nil"/>
              <w:bottom w:val="single" w:sz="4" w:space="0" w:color="auto"/>
              <w:right w:val="single" w:sz="4" w:space="0" w:color="auto"/>
            </w:tcBorders>
            <w:shd w:val="clear" w:color="auto" w:fill="auto"/>
            <w:vAlign w:val="center"/>
          </w:tcPr>
          <w:p w14:paraId="204FBB3F" w14:textId="77777777" w:rsidR="009E4C91" w:rsidRPr="004F24F9" w:rsidRDefault="009E4C91" w:rsidP="00841617">
            <w:pPr>
              <w:widowControl w:val="0"/>
              <w:jc w:val="center"/>
              <w:rPr>
                <w:rFonts w:cs="Times New Roman"/>
                <w:bCs/>
                <w:spacing w:val="-10"/>
                <w:sz w:val="14"/>
                <w:szCs w:val="14"/>
              </w:rPr>
            </w:pPr>
            <w:r w:rsidRPr="004F24F9">
              <w:rPr>
                <w:rFonts w:cs="Times New Roman"/>
                <w:bCs/>
                <w:sz w:val="14"/>
                <w:szCs w:val="14"/>
              </w:rPr>
              <w:t>23,82</w:t>
            </w:r>
          </w:p>
        </w:tc>
      </w:tr>
    </w:tbl>
    <w:p w14:paraId="52DD01A8" w14:textId="6CA1DADB" w:rsidR="00104131" w:rsidRPr="004F24F9" w:rsidRDefault="00AE023D" w:rsidP="00E91C41">
      <w:pPr>
        <w:spacing w:line="320" w:lineRule="exact"/>
        <w:ind w:firstLine="397"/>
        <w:jc w:val="both"/>
        <w:rPr>
          <w:rFonts w:cs="Times New Roman"/>
          <w:iCs/>
          <w:sz w:val="24"/>
          <w:szCs w:val="24"/>
        </w:rPr>
        <w:sectPr w:rsidR="00104131" w:rsidRPr="004F24F9" w:rsidSect="006241F2">
          <w:type w:val="continuous"/>
          <w:pgSz w:w="11057" w:h="15593" w:code="9"/>
          <w:pgMar w:top="1418" w:right="1418" w:bottom="1418" w:left="1418" w:header="964" w:footer="851" w:gutter="0"/>
          <w:cols w:space="708"/>
          <w:docGrid w:linePitch="381"/>
        </w:sectPr>
      </w:pPr>
      <w:r w:rsidRPr="004F24F9">
        <w:rPr>
          <w:rFonts w:cs="Times New Roman"/>
          <w:iCs/>
          <w:sz w:val="24"/>
          <w:szCs w:val="24"/>
        </w:rPr>
        <w:t>(Nguồn: Số liệu của Chi nhánh NHCSXH tỉnh Đồng Nai)</w:t>
      </w:r>
    </w:p>
    <w:p w14:paraId="04FF356E" w14:textId="555D70DB" w:rsidR="009E4C91" w:rsidRPr="004F24F9" w:rsidRDefault="009E4C91" w:rsidP="00E91C41">
      <w:pPr>
        <w:spacing w:line="320" w:lineRule="exact"/>
        <w:ind w:firstLine="397"/>
        <w:jc w:val="both"/>
        <w:rPr>
          <w:rFonts w:cs="Times New Roman"/>
          <w:i/>
          <w:iCs/>
          <w:sz w:val="24"/>
          <w:szCs w:val="24"/>
        </w:rPr>
      </w:pPr>
      <w:r w:rsidRPr="004F24F9">
        <w:rPr>
          <w:rFonts w:cs="Times New Roman"/>
          <w:i/>
          <w:iCs/>
          <w:sz w:val="24"/>
          <w:szCs w:val="24"/>
        </w:rPr>
        <w:lastRenderedPageBreak/>
        <w:t xml:space="preserve">Đối với nguồn vốn được </w:t>
      </w:r>
      <w:r w:rsidR="008F191D" w:rsidRPr="004F24F9">
        <w:rPr>
          <w:rFonts w:cs="Times New Roman"/>
          <w:i/>
          <w:iCs/>
          <w:sz w:val="24"/>
          <w:szCs w:val="24"/>
          <w:lang w:val="en-US"/>
        </w:rPr>
        <w:t>Trung ương</w:t>
      </w:r>
      <w:r w:rsidRPr="004F24F9">
        <w:rPr>
          <w:rFonts w:cs="Times New Roman"/>
          <w:i/>
          <w:iCs/>
          <w:sz w:val="24"/>
          <w:szCs w:val="24"/>
        </w:rPr>
        <w:t xml:space="preserve"> phân bổ</w:t>
      </w:r>
      <w:r w:rsidR="00943665" w:rsidRPr="004F24F9">
        <w:rPr>
          <w:rFonts w:cs="Times New Roman"/>
          <w:i/>
          <w:iCs/>
          <w:sz w:val="24"/>
          <w:szCs w:val="24"/>
        </w:rPr>
        <w:t>:</w:t>
      </w:r>
    </w:p>
    <w:p w14:paraId="4DB16A98" w14:textId="5060E46D" w:rsidR="009E4C91" w:rsidRPr="004F24F9" w:rsidRDefault="009E4C91" w:rsidP="00E91C41">
      <w:pPr>
        <w:widowControl w:val="0"/>
        <w:shd w:val="clear" w:color="auto" w:fill="FFFFFF"/>
        <w:spacing w:line="320" w:lineRule="exact"/>
        <w:ind w:firstLine="397"/>
        <w:jc w:val="both"/>
        <w:rPr>
          <w:rFonts w:cs="Times New Roman"/>
          <w:sz w:val="24"/>
          <w:szCs w:val="24"/>
        </w:rPr>
      </w:pPr>
      <w:r w:rsidRPr="004F24F9">
        <w:rPr>
          <w:rFonts w:cs="Times New Roman"/>
          <w:sz w:val="24"/>
          <w:szCs w:val="24"/>
        </w:rPr>
        <w:t xml:space="preserve">Kế hoạch nguồn vốn của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được xây dựng từ cấp huyện, tổng hợp tại cấp tỉnh và trình </w:t>
      </w:r>
      <w:r w:rsidR="008F191D" w:rsidRPr="004F24F9">
        <w:rPr>
          <w:rFonts w:cs="Times New Roman"/>
          <w:iCs/>
          <w:sz w:val="24"/>
          <w:szCs w:val="24"/>
          <w:lang w:val="en-US"/>
        </w:rPr>
        <w:t>Trung ương</w:t>
      </w:r>
      <w:r w:rsidRPr="004F24F9">
        <w:rPr>
          <w:rFonts w:cs="Times New Roman"/>
          <w:sz w:val="24"/>
          <w:szCs w:val="24"/>
        </w:rPr>
        <w:t xml:space="preserve"> xem xét, phân bổ chỉ tiêu. Căn cứ chỉ tiêu kế hoạch nguồn vốn được phân bổ từ </w:t>
      </w:r>
      <w:r w:rsidR="008F191D" w:rsidRPr="004F24F9">
        <w:rPr>
          <w:rFonts w:cs="Times New Roman"/>
          <w:iCs/>
          <w:sz w:val="24"/>
          <w:szCs w:val="24"/>
          <w:lang w:val="en-US"/>
        </w:rPr>
        <w:t>Trung ương</w:t>
      </w:r>
      <w:r w:rsidRPr="004F24F9">
        <w:rPr>
          <w:rFonts w:cs="Times New Roman"/>
          <w:sz w:val="24"/>
          <w:szCs w:val="24"/>
        </w:rPr>
        <w:t xml:space="preserve"> về tỉnh và tỉnh về các </w:t>
      </w:r>
      <w:r w:rsidR="00BE3D57" w:rsidRPr="004F24F9">
        <w:rPr>
          <w:rFonts w:cs="Times New Roman"/>
          <w:sz w:val="24"/>
          <w:szCs w:val="24"/>
        </w:rPr>
        <w:t>phòng giao dịch</w:t>
      </w:r>
      <w:r w:rsidRPr="004F24F9">
        <w:rPr>
          <w:rFonts w:cs="Times New Roman"/>
          <w:sz w:val="24"/>
          <w:szCs w:val="24"/>
        </w:rPr>
        <w:t xml:space="preserve"> NHCSXH cấp huyện thực hiện giải ngân theo đúng chỉ tiêu kế hoạch đã đượ</w:t>
      </w:r>
      <w:r w:rsidR="00943665" w:rsidRPr="004F24F9">
        <w:rPr>
          <w:rFonts w:cs="Times New Roman"/>
          <w:sz w:val="24"/>
          <w:szCs w:val="24"/>
        </w:rPr>
        <w:t>c giao. Hằ</w:t>
      </w:r>
      <w:r w:rsidRPr="004F24F9">
        <w:rPr>
          <w:rFonts w:cs="Times New Roman"/>
          <w:sz w:val="24"/>
          <w:szCs w:val="24"/>
        </w:rPr>
        <w:t xml:space="preserve">ng năm, căn cứ chỉ tiêu kế hoạch vốn được NHCSXH </w:t>
      </w:r>
      <w:r w:rsidR="008F191D" w:rsidRPr="004F24F9">
        <w:rPr>
          <w:rFonts w:cs="Times New Roman"/>
          <w:iCs/>
          <w:sz w:val="24"/>
          <w:szCs w:val="24"/>
          <w:lang w:val="en-US"/>
        </w:rPr>
        <w:t>Trung ương</w:t>
      </w:r>
      <w:r w:rsidRPr="004F24F9">
        <w:rPr>
          <w:rFonts w:cs="Times New Roman"/>
          <w:sz w:val="24"/>
          <w:szCs w:val="24"/>
        </w:rPr>
        <w:t xml:space="preserve"> giao, NHCSXH tỉnh báo cáo, trình Trưởng </w:t>
      </w:r>
      <w:r w:rsidR="00BE3D57" w:rsidRPr="004F24F9">
        <w:rPr>
          <w:rFonts w:cs="Times New Roman"/>
          <w:sz w:val="24"/>
          <w:szCs w:val="24"/>
        </w:rPr>
        <w:t xml:space="preserve">Ban đại diện Hội đồng quản trị </w:t>
      </w:r>
      <w:r w:rsidRPr="004F24F9">
        <w:rPr>
          <w:rFonts w:cs="Times New Roman"/>
          <w:sz w:val="24"/>
          <w:szCs w:val="24"/>
        </w:rPr>
        <w:t xml:space="preserve">NHCSXH tỉnh phân bổ chỉ tiêu kế hoạch đến các địa bàn cấp huyện để tổ chức triển khai thực hiện. Căn cứ kế hoạch huy động vốn tỉnh giao, </w:t>
      </w:r>
      <w:r w:rsidR="00BE3D57" w:rsidRPr="004F24F9">
        <w:rPr>
          <w:rFonts w:cs="Times New Roman"/>
          <w:sz w:val="24"/>
          <w:szCs w:val="24"/>
        </w:rPr>
        <w:t>phòng giao dịch</w:t>
      </w:r>
      <w:r w:rsidRPr="004F24F9">
        <w:rPr>
          <w:rFonts w:cs="Times New Roman"/>
          <w:sz w:val="24"/>
          <w:szCs w:val="24"/>
        </w:rPr>
        <w:t xml:space="preserve"> NHCSXH cấp huyện tham mưu Trưởng </w:t>
      </w:r>
      <w:r w:rsidR="00BE3D57" w:rsidRPr="004F24F9">
        <w:rPr>
          <w:rFonts w:cs="Times New Roman"/>
          <w:sz w:val="24"/>
          <w:szCs w:val="24"/>
        </w:rPr>
        <w:t xml:space="preserve">Ban đại diện </w:t>
      </w:r>
      <w:r w:rsidRPr="004F24F9">
        <w:rPr>
          <w:rFonts w:cs="Times New Roman"/>
          <w:sz w:val="24"/>
          <w:szCs w:val="24"/>
        </w:rPr>
        <w:t xml:space="preserve">cùng cấp giao đến các xã, phường, thị trấn và </w:t>
      </w:r>
      <w:r w:rsidR="00EC484A" w:rsidRPr="004F24F9">
        <w:rPr>
          <w:rFonts w:cs="Times New Roman"/>
          <w:sz w:val="24"/>
          <w:szCs w:val="24"/>
          <w:lang w:val="en-US"/>
        </w:rPr>
        <w:t>ủy ban nhân dân</w:t>
      </w:r>
      <w:r w:rsidRPr="004F24F9">
        <w:rPr>
          <w:rFonts w:cs="Times New Roman"/>
          <w:sz w:val="24"/>
          <w:szCs w:val="24"/>
        </w:rPr>
        <w:t xml:space="preserve"> cấp </w:t>
      </w:r>
      <w:r w:rsidRPr="004F24F9">
        <w:rPr>
          <w:rFonts w:cs="Times New Roman"/>
          <w:sz w:val="24"/>
          <w:szCs w:val="24"/>
        </w:rPr>
        <w:lastRenderedPageBreak/>
        <w:t xml:space="preserve">xã giao vốn đến các ấp/khu vực để thực hiện. Từ 2019 đến năm 2023, nguồn vốn được </w:t>
      </w:r>
      <w:r w:rsidR="008F191D" w:rsidRPr="004F24F9">
        <w:rPr>
          <w:rFonts w:cs="Times New Roman"/>
          <w:iCs/>
          <w:sz w:val="24"/>
          <w:szCs w:val="24"/>
          <w:lang w:val="en-US"/>
        </w:rPr>
        <w:t>Trung ương</w:t>
      </w:r>
      <w:r w:rsidRPr="004F24F9">
        <w:rPr>
          <w:rFonts w:cs="Times New Roman"/>
          <w:sz w:val="24"/>
          <w:szCs w:val="24"/>
        </w:rPr>
        <w:t xml:space="preserve"> phân bổ cho NHCSXH tỉnh không đồng đều qua mỗi năm. Cụ thể, năm 2020, số dư nguồn vố</w:t>
      </w:r>
      <w:r w:rsidR="003E5BE1" w:rsidRPr="004F24F9">
        <w:rPr>
          <w:rFonts w:cs="Times New Roman"/>
          <w:sz w:val="24"/>
          <w:szCs w:val="24"/>
        </w:rPr>
        <w:t>n là</w:t>
      </w:r>
      <w:r w:rsidRPr="004F24F9">
        <w:rPr>
          <w:rFonts w:cs="Times New Roman"/>
          <w:sz w:val="24"/>
          <w:szCs w:val="24"/>
        </w:rPr>
        <w:t xml:space="preserve"> 2.057.221 triệu đồng, tăng 8,44% so với năm 2019; Năm 2021, số dư là 2.084.030 triệu đồng, tăng 1,3% so với năm 2020 (tăng thấp nhất trong giai đoạn, nguyên nhân do NHCSXH </w:t>
      </w:r>
      <w:r w:rsidR="00FD4EDD" w:rsidRPr="004F24F9">
        <w:rPr>
          <w:rFonts w:cs="Times New Roman"/>
          <w:sz w:val="24"/>
          <w:szCs w:val="24"/>
        </w:rPr>
        <w:t xml:space="preserve">tỉnh </w:t>
      </w:r>
      <w:r w:rsidRPr="004F24F9">
        <w:rPr>
          <w:rFonts w:cs="Times New Roman"/>
          <w:sz w:val="24"/>
          <w:szCs w:val="24"/>
        </w:rPr>
        <w:t xml:space="preserve">đã huy động hiệu quả nguồn vốn được </w:t>
      </w:r>
      <w:r w:rsidR="008F191D" w:rsidRPr="004F24F9">
        <w:rPr>
          <w:rFonts w:cs="Times New Roman"/>
          <w:iCs/>
          <w:sz w:val="24"/>
          <w:szCs w:val="24"/>
          <w:lang w:val="en-US"/>
        </w:rPr>
        <w:t>Trung ương</w:t>
      </w:r>
      <w:r w:rsidRPr="004F24F9">
        <w:rPr>
          <w:rFonts w:cs="Times New Roman"/>
          <w:sz w:val="24"/>
          <w:szCs w:val="24"/>
        </w:rPr>
        <w:t xml:space="preserve"> cấp bù lãi suất); Năm 2022, số dư là 2.293.904 triệu đồng, tăng 10,07% so với năm 2021; Năm 2023, số dư là 2.661.414 triệu đồng, tăng 16,02% so với năm 2022.</w:t>
      </w:r>
    </w:p>
    <w:p w14:paraId="2A531FF2" w14:textId="33D12ED2" w:rsidR="009E4C91" w:rsidRPr="004F24F9" w:rsidRDefault="009E4C91" w:rsidP="00E91C41">
      <w:pPr>
        <w:spacing w:line="320" w:lineRule="exact"/>
        <w:ind w:firstLine="397"/>
        <w:jc w:val="both"/>
        <w:rPr>
          <w:rFonts w:cs="Times New Roman"/>
          <w:i/>
          <w:iCs/>
          <w:sz w:val="24"/>
          <w:szCs w:val="24"/>
        </w:rPr>
      </w:pPr>
      <w:r w:rsidRPr="004F24F9">
        <w:rPr>
          <w:rFonts w:cs="Times New Roman"/>
          <w:i/>
          <w:iCs/>
          <w:sz w:val="24"/>
          <w:szCs w:val="24"/>
        </w:rPr>
        <w:t xml:space="preserve">Đối với nguồn vốn huy động được </w:t>
      </w:r>
      <w:r w:rsidR="008F191D" w:rsidRPr="004F24F9">
        <w:rPr>
          <w:rFonts w:cs="Times New Roman"/>
          <w:i/>
          <w:iCs/>
          <w:sz w:val="24"/>
          <w:szCs w:val="24"/>
          <w:lang w:val="en-US"/>
        </w:rPr>
        <w:t>Trung ương</w:t>
      </w:r>
      <w:r w:rsidRPr="004F24F9">
        <w:rPr>
          <w:rFonts w:cs="Times New Roman"/>
          <w:i/>
          <w:iCs/>
          <w:sz w:val="24"/>
          <w:szCs w:val="24"/>
        </w:rPr>
        <w:t xml:space="preserve"> cấp bù lãi suất</w:t>
      </w:r>
      <w:r w:rsidR="00943665" w:rsidRPr="004F24F9">
        <w:rPr>
          <w:rFonts w:cs="Times New Roman"/>
          <w:i/>
          <w:iCs/>
          <w:sz w:val="24"/>
          <w:szCs w:val="24"/>
        </w:rPr>
        <w:t>:</w:t>
      </w:r>
    </w:p>
    <w:p w14:paraId="51FD4F85" w14:textId="00952E7C" w:rsidR="009E4C91" w:rsidRPr="004F24F9" w:rsidRDefault="009E4C91" w:rsidP="00E91C41">
      <w:pPr>
        <w:spacing w:line="320" w:lineRule="exact"/>
        <w:ind w:firstLine="397"/>
        <w:jc w:val="both"/>
        <w:rPr>
          <w:rFonts w:cs="Times New Roman"/>
          <w:iCs/>
          <w:sz w:val="24"/>
          <w:szCs w:val="24"/>
        </w:rPr>
      </w:pPr>
      <w:r w:rsidRPr="004F24F9">
        <w:rPr>
          <w:rFonts w:cs="Times New Roman"/>
          <w:iCs/>
          <w:sz w:val="24"/>
          <w:szCs w:val="24"/>
        </w:rPr>
        <w:t xml:space="preserve">Căn cứ chỉ tiêu huy động vốn được giao, các đơn vị chủ động tìm giải pháp thực hiện hoàn thành kế hoạch huy động </w:t>
      </w:r>
      <w:r w:rsidRPr="004F24F9">
        <w:rPr>
          <w:rFonts w:cs="Times New Roman"/>
          <w:iCs/>
          <w:sz w:val="24"/>
          <w:szCs w:val="24"/>
        </w:rPr>
        <w:lastRenderedPageBreak/>
        <w:t xml:space="preserve">vốn. Kết quả cho thấy, tốc độ tăng trưởng nguồn vốn huy động được </w:t>
      </w:r>
      <w:r w:rsidR="008F191D" w:rsidRPr="004F24F9">
        <w:rPr>
          <w:rFonts w:cs="Times New Roman"/>
          <w:iCs/>
          <w:sz w:val="24"/>
          <w:szCs w:val="24"/>
          <w:lang w:val="en-US"/>
        </w:rPr>
        <w:t>Trung ương</w:t>
      </w:r>
      <w:r w:rsidR="008F191D" w:rsidRPr="004F24F9">
        <w:rPr>
          <w:rFonts w:cs="Times New Roman"/>
          <w:iCs/>
          <w:sz w:val="24"/>
          <w:szCs w:val="24"/>
        </w:rPr>
        <w:t xml:space="preserve"> </w:t>
      </w:r>
      <w:r w:rsidRPr="004F24F9">
        <w:rPr>
          <w:rFonts w:cs="Times New Roman"/>
          <w:iCs/>
          <w:sz w:val="24"/>
          <w:szCs w:val="24"/>
        </w:rPr>
        <w:t>cấp bù lãi suất không đều và có xu hướng tăng lên từ năm 2019 đến năm 2023. Cụ thể</w:t>
      </w:r>
      <w:r w:rsidR="003E5BE1" w:rsidRPr="004F24F9">
        <w:rPr>
          <w:rFonts w:cs="Times New Roman"/>
          <w:iCs/>
          <w:sz w:val="24"/>
          <w:szCs w:val="24"/>
          <w:lang w:val="en-US"/>
        </w:rPr>
        <w:t>: N</w:t>
      </w:r>
      <w:r w:rsidRPr="004F24F9">
        <w:rPr>
          <w:rFonts w:cs="Times New Roman"/>
          <w:iCs/>
          <w:sz w:val="24"/>
          <w:szCs w:val="24"/>
        </w:rPr>
        <w:t xml:space="preserve">ăm 2020, số dư nguồn vốn là </w:t>
      </w:r>
      <w:r w:rsidRPr="004F24F9">
        <w:rPr>
          <w:rFonts w:cs="Times New Roman"/>
          <w:sz w:val="24"/>
          <w:szCs w:val="24"/>
        </w:rPr>
        <w:t xml:space="preserve">498.060 </w:t>
      </w:r>
      <w:r w:rsidRPr="004F24F9">
        <w:rPr>
          <w:rFonts w:cs="Times New Roman"/>
          <w:iCs/>
          <w:sz w:val="24"/>
          <w:szCs w:val="24"/>
        </w:rPr>
        <w:t xml:space="preserve">triệu đồng, tăng </w:t>
      </w:r>
      <w:r w:rsidR="003E5BE1" w:rsidRPr="004F24F9">
        <w:rPr>
          <w:rFonts w:cs="Times New Roman"/>
          <w:sz w:val="24"/>
          <w:szCs w:val="24"/>
        </w:rPr>
        <w:t>30,18</w:t>
      </w:r>
      <w:r w:rsidRPr="004F24F9">
        <w:rPr>
          <w:rFonts w:cs="Times New Roman"/>
          <w:iCs/>
          <w:sz w:val="24"/>
          <w:szCs w:val="24"/>
        </w:rPr>
        <w:t xml:space="preserve">% so với </w:t>
      </w:r>
      <w:r w:rsidR="003E5BE1" w:rsidRPr="004F24F9">
        <w:rPr>
          <w:rFonts w:cs="Times New Roman"/>
          <w:iCs/>
          <w:sz w:val="24"/>
          <w:szCs w:val="24"/>
        </w:rPr>
        <w:t>năm 2019.</w:t>
      </w:r>
      <w:r w:rsidRPr="004F24F9">
        <w:rPr>
          <w:rFonts w:cs="Times New Roman"/>
          <w:iCs/>
          <w:sz w:val="24"/>
          <w:szCs w:val="24"/>
        </w:rPr>
        <w:t xml:space="preserve"> Năm 2021, số dư là </w:t>
      </w:r>
      <w:r w:rsidRPr="004F24F9">
        <w:rPr>
          <w:rFonts w:cs="Times New Roman"/>
          <w:sz w:val="24"/>
          <w:szCs w:val="24"/>
        </w:rPr>
        <w:t xml:space="preserve">631.934 </w:t>
      </w:r>
      <w:r w:rsidRPr="004F24F9">
        <w:rPr>
          <w:rFonts w:cs="Times New Roman"/>
          <w:iCs/>
          <w:sz w:val="24"/>
          <w:szCs w:val="24"/>
        </w:rPr>
        <w:t xml:space="preserve">triệu đồng, tăng </w:t>
      </w:r>
      <w:r w:rsidRPr="004F24F9">
        <w:rPr>
          <w:rFonts w:cs="Times New Roman"/>
          <w:sz w:val="24"/>
          <w:szCs w:val="24"/>
        </w:rPr>
        <w:t>26,88</w:t>
      </w:r>
      <w:r w:rsidRPr="004F24F9">
        <w:rPr>
          <w:rFonts w:cs="Times New Roman"/>
          <w:iCs/>
          <w:sz w:val="24"/>
          <w:szCs w:val="24"/>
        </w:rPr>
        <w:t>% so vớ</w:t>
      </w:r>
      <w:r w:rsidR="003E5BE1" w:rsidRPr="004F24F9">
        <w:rPr>
          <w:rFonts w:cs="Times New Roman"/>
          <w:iCs/>
          <w:sz w:val="24"/>
          <w:szCs w:val="24"/>
        </w:rPr>
        <w:t>i năm 2020.</w:t>
      </w:r>
      <w:r w:rsidRPr="004F24F9">
        <w:rPr>
          <w:rFonts w:cs="Times New Roman"/>
          <w:iCs/>
          <w:sz w:val="24"/>
          <w:szCs w:val="24"/>
        </w:rPr>
        <w:t xml:space="preserve"> Năm 2022, số dư là </w:t>
      </w:r>
      <w:r w:rsidRPr="004F24F9">
        <w:rPr>
          <w:rFonts w:cs="Times New Roman"/>
          <w:sz w:val="24"/>
          <w:szCs w:val="24"/>
        </w:rPr>
        <w:t xml:space="preserve">628.193 </w:t>
      </w:r>
      <w:r w:rsidRPr="004F24F9">
        <w:rPr>
          <w:rFonts w:cs="Times New Roman"/>
          <w:iCs/>
          <w:sz w:val="24"/>
          <w:szCs w:val="24"/>
        </w:rPr>
        <w:t xml:space="preserve">triệu đồng, giảm </w:t>
      </w:r>
      <w:r w:rsidR="003E5BE1" w:rsidRPr="004F24F9">
        <w:rPr>
          <w:rFonts w:cs="Times New Roman"/>
          <w:sz w:val="24"/>
          <w:szCs w:val="24"/>
        </w:rPr>
        <w:t>-0,59</w:t>
      </w:r>
      <w:r w:rsidRPr="004F24F9">
        <w:rPr>
          <w:rFonts w:cs="Times New Roman"/>
          <w:iCs/>
          <w:sz w:val="24"/>
          <w:szCs w:val="24"/>
        </w:rPr>
        <w:t xml:space="preserve">% so với năm 2021 (Năm 2022 có </w:t>
      </w:r>
      <w:r w:rsidRPr="004F24F9">
        <w:rPr>
          <w:rFonts w:cs="Times New Roman"/>
          <w:sz w:val="24"/>
          <w:szCs w:val="24"/>
        </w:rPr>
        <w:t xml:space="preserve">nguồn vốn huy động được </w:t>
      </w:r>
      <w:r w:rsidR="008F191D" w:rsidRPr="004F24F9">
        <w:rPr>
          <w:rFonts w:cs="Times New Roman"/>
          <w:iCs/>
          <w:sz w:val="24"/>
          <w:szCs w:val="24"/>
          <w:lang w:val="en-US"/>
        </w:rPr>
        <w:t>Trung ương</w:t>
      </w:r>
      <w:r w:rsidRPr="004F24F9">
        <w:rPr>
          <w:rFonts w:cs="Times New Roman"/>
          <w:sz w:val="24"/>
          <w:szCs w:val="24"/>
        </w:rPr>
        <w:t xml:space="preserve"> cấp bù</w:t>
      </w:r>
      <w:r w:rsidRPr="004F24F9">
        <w:rPr>
          <w:rFonts w:cs="Times New Roman"/>
          <w:iCs/>
          <w:sz w:val="24"/>
          <w:szCs w:val="24"/>
        </w:rPr>
        <w:t xml:space="preserve"> thấp nhất trong giai đoạn 2019-2023, nguyên nhân do dịch COVID-19); Năm 2023, số dư là </w:t>
      </w:r>
      <w:r w:rsidRPr="004F24F9">
        <w:rPr>
          <w:rFonts w:cs="Times New Roman"/>
          <w:sz w:val="24"/>
          <w:szCs w:val="24"/>
        </w:rPr>
        <w:t xml:space="preserve">710.877 </w:t>
      </w:r>
      <w:r w:rsidRPr="004F24F9">
        <w:rPr>
          <w:rFonts w:cs="Times New Roman"/>
          <w:iCs/>
          <w:sz w:val="24"/>
          <w:szCs w:val="24"/>
        </w:rPr>
        <w:t xml:space="preserve">triệu đồng, tăng </w:t>
      </w:r>
      <w:r w:rsidRPr="004F24F9">
        <w:rPr>
          <w:rFonts w:cs="Times New Roman"/>
          <w:sz w:val="24"/>
          <w:szCs w:val="24"/>
        </w:rPr>
        <w:t xml:space="preserve">13,16 </w:t>
      </w:r>
      <w:r w:rsidRPr="004F24F9">
        <w:rPr>
          <w:rFonts w:cs="Times New Roman"/>
          <w:iCs/>
          <w:sz w:val="24"/>
          <w:szCs w:val="24"/>
        </w:rPr>
        <w:t>% so với năm 2022.</w:t>
      </w:r>
    </w:p>
    <w:p w14:paraId="7DE07B87" w14:textId="4DD647B7" w:rsidR="009E4C91" w:rsidRPr="004F24F9" w:rsidRDefault="009E4C91" w:rsidP="00E91C41">
      <w:pPr>
        <w:spacing w:line="320" w:lineRule="exact"/>
        <w:ind w:firstLine="397"/>
        <w:jc w:val="both"/>
        <w:rPr>
          <w:rFonts w:cs="Times New Roman"/>
          <w:i/>
          <w:iCs/>
          <w:sz w:val="24"/>
          <w:szCs w:val="24"/>
        </w:rPr>
      </w:pPr>
      <w:r w:rsidRPr="004F24F9">
        <w:rPr>
          <w:rFonts w:cs="Times New Roman"/>
          <w:i/>
          <w:iCs/>
          <w:sz w:val="24"/>
          <w:szCs w:val="24"/>
        </w:rPr>
        <w:t>Đối với nguồn vốn nhận ủy thác từ Ngân sách địa phương</w:t>
      </w:r>
      <w:r w:rsidR="00943665" w:rsidRPr="004F24F9">
        <w:rPr>
          <w:rFonts w:cs="Times New Roman"/>
          <w:i/>
          <w:iCs/>
          <w:sz w:val="24"/>
          <w:szCs w:val="24"/>
        </w:rPr>
        <w:t>:</w:t>
      </w:r>
    </w:p>
    <w:p w14:paraId="18D40944" w14:textId="7DC32310" w:rsidR="00104131" w:rsidRPr="004F24F9" w:rsidRDefault="009E4C91" w:rsidP="00E91C41">
      <w:pPr>
        <w:widowControl w:val="0"/>
        <w:shd w:val="clear" w:color="auto" w:fill="FFFFFF"/>
        <w:spacing w:line="320" w:lineRule="exact"/>
        <w:ind w:firstLine="397"/>
        <w:jc w:val="both"/>
        <w:rPr>
          <w:rFonts w:cs="Times New Roman"/>
          <w:sz w:val="24"/>
          <w:szCs w:val="24"/>
        </w:rPr>
        <w:sectPr w:rsidR="00104131" w:rsidRPr="004F24F9" w:rsidSect="00104131">
          <w:type w:val="continuous"/>
          <w:pgSz w:w="11057" w:h="15593" w:code="9"/>
          <w:pgMar w:top="1418" w:right="1418" w:bottom="1418" w:left="1418" w:header="964" w:footer="851" w:gutter="0"/>
          <w:cols w:num="2" w:space="454"/>
          <w:docGrid w:linePitch="381"/>
        </w:sectPr>
      </w:pPr>
      <w:r w:rsidRPr="004F24F9">
        <w:rPr>
          <w:rFonts w:cs="Times New Roman"/>
          <w:sz w:val="24"/>
          <w:szCs w:val="24"/>
        </w:rPr>
        <w:t xml:space="preserve">Huy động vốn nhận ủy thác từ ngân sách địa phương gồm có ngân sách tỉnh, ngân sách cấp huyện và thành phố thuộc tỉnh. Căn cứ vào các chương trình mục tiêu giảm nghèo bền vững, tạo việc làm, đảm bảo an sinh xã hội, góp phần hoàn thành các mục tiêu phát triển kinh tế - xã hội của địa phương, </w:t>
      </w:r>
      <w:r w:rsidR="003E5BE1" w:rsidRPr="004F24F9">
        <w:rPr>
          <w:rFonts w:cs="Times New Roman"/>
          <w:sz w:val="24"/>
          <w:szCs w:val="24"/>
          <w:lang w:val="en-US"/>
        </w:rPr>
        <w:t xml:space="preserve">Ủy ban nhân dân </w:t>
      </w:r>
      <w:r w:rsidRPr="004F24F9">
        <w:rPr>
          <w:rFonts w:cs="Times New Roman"/>
          <w:sz w:val="24"/>
          <w:szCs w:val="24"/>
        </w:rPr>
        <w:t xml:space="preserve"> tỉnh và các huyện, thành phố Biên Hòa, thành phố Long Khánh chuyển nguồn vốn ngân sách địa phương để cho vay </w:t>
      </w:r>
      <w:r w:rsidRPr="004F24F9">
        <w:rPr>
          <w:rFonts w:cs="Times New Roman"/>
          <w:sz w:val="24"/>
          <w:szCs w:val="24"/>
        </w:rPr>
        <w:lastRenderedPageBreak/>
        <w:t xml:space="preserve">người nghèo và các đối tượng chính sách khác trên địa bàn theo các chương trình chỉ định của địa phương. Vốn huy động từ nguồn vốn nhận ủy thác không phải trả lãi cho chủ đầu tư.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thực hiện cho vay theo Hợp đồng ủy thác ký giữa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với chủ đầu tư. Nguồn vốn nhận ủy thác của UBND tỉnh và các huyện, thành phố Biên Hòa, thành phố Long Khánh hiện tại đang thực hiện cho vay chương trình hộ nghèo, cho vay giải quyết việc làm, cho vay nước sạch vệ sinh môi trường nông thôn, cho vay xuất khẩu lao động. Đến năm 2023, số dư nguồn vốn ngân sách chuyển sang. Trong giai đoạn 5 năm (2019-2023), vốn ngân sách địa phương chuyển sang năm sau cao hơn năm trước mức tăng trưởng bình quân là 199.031 triệu đồng. Năm 2020, số dư nguồn vốn là </w:t>
      </w:r>
      <w:r w:rsidRPr="004F24F9">
        <w:rPr>
          <w:rFonts w:cs="Times New Roman"/>
          <w:bCs/>
          <w:sz w:val="24"/>
          <w:szCs w:val="24"/>
        </w:rPr>
        <w:t xml:space="preserve">591.201 </w:t>
      </w:r>
      <w:r w:rsidRPr="004F24F9">
        <w:rPr>
          <w:rFonts w:cs="Times New Roman"/>
          <w:sz w:val="24"/>
          <w:szCs w:val="24"/>
        </w:rPr>
        <w:t xml:space="preserve">triệu đồng, tăng </w:t>
      </w:r>
      <w:r w:rsidR="00943665" w:rsidRPr="004F24F9">
        <w:rPr>
          <w:rFonts w:cs="Times New Roman"/>
          <w:bCs/>
          <w:sz w:val="24"/>
          <w:szCs w:val="24"/>
        </w:rPr>
        <w:t>33,52</w:t>
      </w:r>
      <w:r w:rsidRPr="004F24F9">
        <w:rPr>
          <w:rFonts w:cs="Times New Roman"/>
          <w:sz w:val="24"/>
          <w:szCs w:val="24"/>
        </w:rPr>
        <w:t>% so với năm 2019</w:t>
      </w:r>
      <w:r w:rsidR="003E5BE1" w:rsidRPr="004F24F9">
        <w:rPr>
          <w:rFonts w:cs="Times New Roman"/>
          <w:sz w:val="24"/>
          <w:szCs w:val="24"/>
          <w:lang w:val="en-US"/>
        </w:rPr>
        <w:t>.</w:t>
      </w:r>
      <w:r w:rsidRPr="004F24F9">
        <w:rPr>
          <w:rFonts w:cs="Times New Roman"/>
          <w:sz w:val="24"/>
          <w:szCs w:val="24"/>
        </w:rPr>
        <w:t xml:space="preserve"> Năm 2021, số dư là </w:t>
      </w:r>
      <w:r w:rsidRPr="004F24F9">
        <w:rPr>
          <w:rFonts w:cs="Times New Roman"/>
          <w:bCs/>
          <w:sz w:val="24"/>
          <w:szCs w:val="24"/>
        </w:rPr>
        <w:t xml:space="preserve">757.346 </w:t>
      </w:r>
      <w:r w:rsidRPr="004F24F9">
        <w:rPr>
          <w:rFonts w:cs="Times New Roman"/>
          <w:sz w:val="24"/>
          <w:szCs w:val="24"/>
        </w:rPr>
        <w:t xml:space="preserve">triệu đồng, tăng </w:t>
      </w:r>
      <w:r w:rsidRPr="004F24F9">
        <w:rPr>
          <w:rFonts w:cs="Times New Roman"/>
          <w:bCs/>
          <w:sz w:val="24"/>
          <w:szCs w:val="24"/>
        </w:rPr>
        <w:t>28,10</w:t>
      </w:r>
      <w:r w:rsidRPr="004F24F9">
        <w:rPr>
          <w:rFonts w:cs="Times New Roman"/>
          <w:sz w:val="24"/>
          <w:szCs w:val="24"/>
        </w:rPr>
        <w:t>% so với năm 2020</w:t>
      </w:r>
      <w:r w:rsidR="003E5BE1" w:rsidRPr="004F24F9">
        <w:rPr>
          <w:rFonts w:cs="Times New Roman"/>
          <w:sz w:val="24"/>
          <w:szCs w:val="24"/>
          <w:lang w:val="en-US"/>
        </w:rPr>
        <w:t>.</w:t>
      </w:r>
      <w:r w:rsidRPr="004F24F9">
        <w:rPr>
          <w:rFonts w:cs="Times New Roman"/>
          <w:sz w:val="24"/>
          <w:szCs w:val="24"/>
        </w:rPr>
        <w:t xml:space="preserve"> Năm 2022, số dư là </w:t>
      </w:r>
      <w:r w:rsidRPr="004F24F9">
        <w:rPr>
          <w:rFonts w:cs="Times New Roman"/>
          <w:bCs/>
          <w:sz w:val="24"/>
          <w:szCs w:val="24"/>
        </w:rPr>
        <w:t xml:space="preserve">1.004.378 </w:t>
      </w:r>
      <w:r w:rsidRPr="004F24F9">
        <w:rPr>
          <w:rFonts w:cs="Times New Roman"/>
          <w:sz w:val="24"/>
          <w:szCs w:val="24"/>
        </w:rPr>
        <w:t xml:space="preserve">triệu đồng, tăng </w:t>
      </w:r>
      <w:r w:rsidR="003E5BE1" w:rsidRPr="004F24F9">
        <w:rPr>
          <w:rFonts w:cs="Times New Roman"/>
          <w:bCs/>
          <w:sz w:val="24"/>
          <w:szCs w:val="24"/>
        </w:rPr>
        <w:t>32,62</w:t>
      </w:r>
      <w:r w:rsidRPr="004F24F9">
        <w:rPr>
          <w:rFonts w:cs="Times New Roman"/>
          <w:sz w:val="24"/>
          <w:szCs w:val="24"/>
        </w:rPr>
        <w:t>% so vớ</w:t>
      </w:r>
      <w:r w:rsidR="003E5BE1" w:rsidRPr="004F24F9">
        <w:rPr>
          <w:rFonts w:cs="Times New Roman"/>
          <w:sz w:val="24"/>
          <w:szCs w:val="24"/>
        </w:rPr>
        <w:t>i năm 2021.</w:t>
      </w:r>
      <w:r w:rsidRPr="004F24F9">
        <w:rPr>
          <w:rFonts w:cs="Times New Roman"/>
          <w:sz w:val="24"/>
          <w:szCs w:val="24"/>
        </w:rPr>
        <w:t xml:space="preserve"> Năm 2023</w:t>
      </w:r>
      <w:r w:rsidR="003E5BE1" w:rsidRPr="004F24F9">
        <w:rPr>
          <w:rFonts w:cs="Times New Roman"/>
          <w:sz w:val="24"/>
          <w:szCs w:val="24"/>
          <w:lang w:val="en-US"/>
        </w:rPr>
        <w:t>,</w:t>
      </w:r>
      <w:r w:rsidRPr="004F24F9">
        <w:rPr>
          <w:rFonts w:cs="Times New Roman"/>
          <w:sz w:val="24"/>
          <w:szCs w:val="24"/>
        </w:rPr>
        <w:t xml:space="preserve"> số dư cao nhất đạt </w:t>
      </w:r>
      <w:r w:rsidRPr="004F24F9">
        <w:rPr>
          <w:rFonts w:cs="Times New Roman"/>
          <w:bCs/>
          <w:sz w:val="24"/>
          <w:szCs w:val="24"/>
        </w:rPr>
        <w:t xml:space="preserve">1.238.907 </w:t>
      </w:r>
      <w:r w:rsidRPr="004F24F9">
        <w:rPr>
          <w:rFonts w:cs="Times New Roman"/>
          <w:sz w:val="24"/>
          <w:szCs w:val="24"/>
        </w:rPr>
        <w:t xml:space="preserve">triệu đồng, số dư tăng </w:t>
      </w:r>
      <w:r w:rsidRPr="004F24F9">
        <w:rPr>
          <w:rFonts w:cs="Times New Roman"/>
          <w:bCs/>
          <w:sz w:val="24"/>
          <w:szCs w:val="24"/>
        </w:rPr>
        <w:t xml:space="preserve">234.529 </w:t>
      </w:r>
      <w:r w:rsidRPr="004F24F9">
        <w:rPr>
          <w:rFonts w:cs="Times New Roman"/>
          <w:sz w:val="24"/>
          <w:szCs w:val="24"/>
        </w:rPr>
        <w:t xml:space="preserve">triệu đồng, tăng </w:t>
      </w:r>
      <w:r w:rsidRPr="004F24F9">
        <w:rPr>
          <w:rFonts w:cs="Times New Roman"/>
          <w:bCs/>
          <w:sz w:val="24"/>
          <w:szCs w:val="24"/>
        </w:rPr>
        <w:t>23,35</w:t>
      </w:r>
      <w:r w:rsidRPr="004F24F9">
        <w:rPr>
          <w:rFonts w:cs="Times New Roman"/>
          <w:sz w:val="24"/>
          <w:szCs w:val="24"/>
        </w:rPr>
        <w:t>% so với năm 2022 (</w:t>
      </w:r>
      <w:r w:rsidR="00943665" w:rsidRPr="004F24F9">
        <w:rPr>
          <w:rFonts w:cs="Times New Roman"/>
          <w:sz w:val="24"/>
          <w:szCs w:val="24"/>
        </w:rPr>
        <w:t>b</w:t>
      </w:r>
      <w:r w:rsidRPr="004F24F9">
        <w:rPr>
          <w:rFonts w:cs="Times New Roman"/>
          <w:sz w:val="24"/>
          <w:szCs w:val="24"/>
        </w:rPr>
        <w:t>ả</w:t>
      </w:r>
      <w:r w:rsidR="00943665" w:rsidRPr="004F24F9">
        <w:rPr>
          <w:rFonts w:cs="Times New Roman"/>
          <w:sz w:val="24"/>
          <w:szCs w:val="24"/>
        </w:rPr>
        <w:t xml:space="preserve">ng </w:t>
      </w:r>
      <w:r w:rsidRPr="004F24F9">
        <w:rPr>
          <w:rFonts w:cs="Times New Roman"/>
          <w:sz w:val="24"/>
          <w:szCs w:val="24"/>
        </w:rPr>
        <w:t>2).</w:t>
      </w:r>
    </w:p>
    <w:p w14:paraId="3839D8CF" w14:textId="37032CC6" w:rsidR="009E4C91" w:rsidRPr="004F24F9" w:rsidRDefault="009E4C91" w:rsidP="00E91C41">
      <w:pPr>
        <w:widowControl w:val="0"/>
        <w:shd w:val="clear" w:color="auto" w:fill="FFFFFF"/>
        <w:spacing w:line="320" w:lineRule="exact"/>
        <w:ind w:firstLine="397"/>
        <w:jc w:val="center"/>
        <w:rPr>
          <w:rFonts w:cs="Times New Roman"/>
          <w:b/>
          <w:bCs/>
          <w:sz w:val="24"/>
          <w:szCs w:val="24"/>
        </w:rPr>
      </w:pPr>
      <w:bookmarkStart w:id="5" w:name="_Toc182080844"/>
      <w:r w:rsidRPr="004F24F9">
        <w:rPr>
          <w:rFonts w:cs="Times New Roman"/>
          <w:b/>
          <w:bCs/>
          <w:sz w:val="24"/>
          <w:szCs w:val="24"/>
        </w:rPr>
        <w:lastRenderedPageBreak/>
        <w:t>Bả</w:t>
      </w:r>
      <w:r w:rsidR="00943665" w:rsidRPr="004F24F9">
        <w:rPr>
          <w:rFonts w:cs="Times New Roman"/>
          <w:b/>
          <w:bCs/>
          <w:sz w:val="24"/>
          <w:szCs w:val="24"/>
        </w:rPr>
        <w:t xml:space="preserve">ng </w:t>
      </w:r>
      <w:r w:rsidRPr="004F24F9">
        <w:rPr>
          <w:rFonts w:cs="Times New Roman"/>
          <w:b/>
          <w:bCs/>
          <w:sz w:val="24"/>
          <w:szCs w:val="24"/>
        </w:rPr>
        <w:t>2</w:t>
      </w:r>
      <w:r w:rsidR="00104131" w:rsidRPr="004F24F9">
        <w:rPr>
          <w:rFonts w:cs="Times New Roman"/>
          <w:b/>
          <w:bCs/>
          <w:sz w:val="24"/>
          <w:szCs w:val="24"/>
        </w:rPr>
        <w:t>:</w:t>
      </w:r>
      <w:r w:rsidRPr="004F24F9">
        <w:rPr>
          <w:rFonts w:cs="Times New Roman"/>
          <w:b/>
          <w:bCs/>
          <w:sz w:val="24"/>
          <w:szCs w:val="24"/>
        </w:rPr>
        <w:t xml:space="preserve"> </w:t>
      </w:r>
      <w:r w:rsidRPr="004F24F9">
        <w:rPr>
          <w:rFonts w:cs="Times New Roman"/>
          <w:bCs/>
          <w:i/>
          <w:sz w:val="24"/>
          <w:szCs w:val="24"/>
        </w:rPr>
        <w:t>Tốc độ tăng trưởng nguồn vốn nhận ủy thác từ ngân sách địa phương của Chi nhánh NHCSXH tỉnh Đồng Nai qua 5 năm (2019-2023)</w:t>
      </w:r>
      <w:bookmarkEnd w:id="5"/>
    </w:p>
    <w:p w14:paraId="1E3F5445" w14:textId="77777777" w:rsidR="009E4C91" w:rsidRPr="004F24F9" w:rsidRDefault="009E4C91" w:rsidP="00F25C5D">
      <w:pPr>
        <w:spacing w:line="300" w:lineRule="exact"/>
        <w:ind w:firstLine="397"/>
        <w:jc w:val="right"/>
        <w:rPr>
          <w:rFonts w:cs="Times New Roman"/>
          <w:bCs/>
          <w:i/>
          <w:iCs/>
          <w:sz w:val="24"/>
          <w:szCs w:val="24"/>
        </w:rPr>
      </w:pPr>
      <w:r w:rsidRPr="004F24F9">
        <w:rPr>
          <w:rFonts w:cs="Times New Roman"/>
          <w:bCs/>
          <w:i/>
          <w:iCs/>
          <w:sz w:val="24"/>
          <w:szCs w:val="24"/>
        </w:rPr>
        <w:tab/>
      </w:r>
      <w:r w:rsidRPr="004F24F9">
        <w:rPr>
          <w:rFonts w:cs="Times New Roman"/>
          <w:bCs/>
          <w:i/>
          <w:iCs/>
          <w:sz w:val="24"/>
          <w:szCs w:val="24"/>
        </w:rPr>
        <w:tab/>
        <w:t>Đơn vị tính: Triệu đồng</w:t>
      </w:r>
    </w:p>
    <w:tbl>
      <w:tblPr>
        <w:tblW w:w="5316" w:type="pct"/>
        <w:jc w:val="center"/>
        <w:tblLook w:val="04A0" w:firstRow="1" w:lastRow="0" w:firstColumn="1" w:lastColumn="0" w:noHBand="0" w:noVBand="1"/>
      </w:tblPr>
      <w:tblGrid>
        <w:gridCol w:w="704"/>
        <w:gridCol w:w="754"/>
        <w:gridCol w:w="754"/>
        <w:gridCol w:w="754"/>
        <w:gridCol w:w="904"/>
        <w:gridCol w:w="904"/>
        <w:gridCol w:w="754"/>
        <w:gridCol w:w="554"/>
        <w:gridCol w:w="754"/>
        <w:gridCol w:w="554"/>
        <w:gridCol w:w="754"/>
        <w:gridCol w:w="554"/>
        <w:gridCol w:w="754"/>
        <w:gridCol w:w="554"/>
      </w:tblGrid>
      <w:tr w:rsidR="004F24F9" w:rsidRPr="004F24F9" w14:paraId="2F104336" w14:textId="77777777" w:rsidTr="008F191D">
        <w:trPr>
          <w:trHeight w:val="285"/>
          <w:tblHeader/>
          <w:jc w:val="center"/>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09116"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Chỉ tiêu</w:t>
            </w:r>
          </w:p>
        </w:tc>
        <w:tc>
          <w:tcPr>
            <w:tcW w:w="1922" w:type="pct"/>
            <w:gridSpan w:val="5"/>
            <w:tcBorders>
              <w:top w:val="single" w:sz="4" w:space="0" w:color="auto"/>
              <w:left w:val="nil"/>
              <w:bottom w:val="single" w:sz="4" w:space="0" w:color="auto"/>
              <w:right w:val="single" w:sz="4" w:space="0" w:color="000000"/>
            </w:tcBorders>
            <w:shd w:val="clear" w:color="auto" w:fill="auto"/>
            <w:vAlign w:val="center"/>
            <w:hideMark/>
          </w:tcPr>
          <w:p w14:paraId="0B1AF7C6"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Năm</w:t>
            </w:r>
          </w:p>
        </w:tc>
        <w:tc>
          <w:tcPr>
            <w:tcW w:w="2450" w:type="pct"/>
            <w:gridSpan w:val="8"/>
            <w:tcBorders>
              <w:top w:val="single" w:sz="4" w:space="0" w:color="auto"/>
              <w:left w:val="nil"/>
              <w:bottom w:val="single" w:sz="4" w:space="0" w:color="auto"/>
              <w:right w:val="single" w:sz="4" w:space="0" w:color="000000"/>
            </w:tcBorders>
            <w:shd w:val="clear" w:color="auto" w:fill="auto"/>
            <w:vAlign w:val="center"/>
            <w:hideMark/>
          </w:tcPr>
          <w:p w14:paraId="24A0274C"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So sánh</w:t>
            </w:r>
          </w:p>
        </w:tc>
      </w:tr>
      <w:tr w:rsidR="004F24F9" w:rsidRPr="004F24F9" w14:paraId="70F1D336" w14:textId="77777777" w:rsidTr="008F191D">
        <w:trPr>
          <w:trHeight w:val="389"/>
          <w:tblHeader/>
          <w:jc w:val="center"/>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1DEF35BA" w14:textId="77777777" w:rsidR="009E4C91" w:rsidRPr="004F24F9" w:rsidRDefault="009E4C91" w:rsidP="008F191D">
            <w:pPr>
              <w:widowControl w:val="0"/>
              <w:spacing w:before="40" w:after="40" w:line="300" w:lineRule="exact"/>
              <w:ind w:left="-57" w:right="-57"/>
              <w:jc w:val="center"/>
              <w:rPr>
                <w:rFonts w:cs="Times New Roman"/>
                <w:b/>
                <w:bCs/>
                <w:sz w:val="20"/>
                <w:szCs w:val="20"/>
              </w:rPr>
            </w:pP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14:paraId="7CECE281"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2019</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14:paraId="26BA6913"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2020</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585DBB44"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2021</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14:paraId="1EE616D7"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2022</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14:paraId="7C070899" w14:textId="77777777" w:rsidR="009E4C91" w:rsidRPr="004F24F9" w:rsidRDefault="009E4C91" w:rsidP="008F191D">
            <w:pPr>
              <w:widowControl w:val="0"/>
              <w:spacing w:before="40" w:after="40" w:line="300" w:lineRule="exact"/>
              <w:ind w:left="-113" w:right="-113"/>
              <w:jc w:val="center"/>
              <w:rPr>
                <w:rFonts w:cs="Times New Roman"/>
                <w:b/>
                <w:bCs/>
                <w:spacing w:val="-10"/>
                <w:sz w:val="20"/>
                <w:szCs w:val="20"/>
              </w:rPr>
            </w:pPr>
            <w:r w:rsidRPr="004F24F9">
              <w:rPr>
                <w:rFonts w:cs="Times New Roman"/>
                <w:b/>
                <w:bCs/>
                <w:spacing w:val="-10"/>
                <w:sz w:val="20"/>
                <w:szCs w:val="20"/>
              </w:rPr>
              <w:t>2023</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34E1D543"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2020/2019</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56BF3298"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2021/2020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0004E776"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2022/2021</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57303F1B"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2023/2022</w:t>
            </w:r>
          </w:p>
        </w:tc>
      </w:tr>
      <w:tr w:rsidR="004F24F9" w:rsidRPr="004F24F9" w14:paraId="11CE7E07" w14:textId="77777777" w:rsidTr="008F191D">
        <w:trPr>
          <w:trHeight w:val="285"/>
          <w:tblHeader/>
          <w:jc w:val="center"/>
        </w:trPr>
        <w:tc>
          <w:tcPr>
            <w:tcW w:w="628" w:type="pct"/>
            <w:vMerge/>
            <w:tcBorders>
              <w:top w:val="single" w:sz="4" w:space="0" w:color="auto"/>
              <w:left w:val="single" w:sz="4" w:space="0" w:color="auto"/>
              <w:bottom w:val="single" w:sz="4" w:space="0" w:color="auto"/>
              <w:right w:val="single" w:sz="4" w:space="0" w:color="auto"/>
            </w:tcBorders>
            <w:vAlign w:val="center"/>
            <w:hideMark/>
          </w:tcPr>
          <w:p w14:paraId="0840B59B" w14:textId="77777777" w:rsidR="009E4C91" w:rsidRPr="004F24F9" w:rsidRDefault="009E4C91" w:rsidP="008F191D">
            <w:pPr>
              <w:widowControl w:val="0"/>
              <w:spacing w:before="40" w:after="40" w:line="300" w:lineRule="exact"/>
              <w:ind w:left="-57" w:right="-57"/>
              <w:jc w:val="center"/>
              <w:rPr>
                <w:rFonts w:cs="Times New Roman"/>
                <w:b/>
                <w:bCs/>
                <w:sz w:val="20"/>
                <w:szCs w:val="20"/>
              </w:rPr>
            </w:pPr>
          </w:p>
        </w:tc>
        <w:tc>
          <w:tcPr>
            <w:tcW w:w="384" w:type="pct"/>
            <w:vMerge/>
            <w:tcBorders>
              <w:top w:val="nil"/>
              <w:left w:val="single" w:sz="4" w:space="0" w:color="auto"/>
              <w:bottom w:val="single" w:sz="4" w:space="0" w:color="000000"/>
              <w:right w:val="single" w:sz="4" w:space="0" w:color="auto"/>
            </w:tcBorders>
            <w:vAlign w:val="center"/>
            <w:hideMark/>
          </w:tcPr>
          <w:p w14:paraId="3583BFDE" w14:textId="77777777" w:rsidR="009E4C91" w:rsidRPr="004F24F9" w:rsidRDefault="009E4C91" w:rsidP="008F191D">
            <w:pPr>
              <w:widowControl w:val="0"/>
              <w:spacing w:before="40" w:after="40" w:line="300" w:lineRule="exact"/>
              <w:ind w:left="-57" w:right="-57"/>
              <w:jc w:val="center"/>
              <w:rPr>
                <w:rFonts w:cs="Times New Roman"/>
                <w:b/>
                <w:bCs/>
                <w:sz w:val="20"/>
                <w:szCs w:val="20"/>
              </w:rPr>
            </w:pPr>
          </w:p>
        </w:tc>
        <w:tc>
          <w:tcPr>
            <w:tcW w:w="384" w:type="pct"/>
            <w:vMerge/>
            <w:tcBorders>
              <w:top w:val="nil"/>
              <w:left w:val="single" w:sz="4" w:space="0" w:color="auto"/>
              <w:bottom w:val="single" w:sz="4" w:space="0" w:color="000000"/>
              <w:right w:val="single" w:sz="4" w:space="0" w:color="auto"/>
            </w:tcBorders>
            <w:vAlign w:val="center"/>
            <w:hideMark/>
          </w:tcPr>
          <w:p w14:paraId="1A648935" w14:textId="77777777" w:rsidR="009E4C91" w:rsidRPr="004F24F9" w:rsidRDefault="009E4C91" w:rsidP="008F191D">
            <w:pPr>
              <w:widowControl w:val="0"/>
              <w:spacing w:before="40" w:after="40" w:line="300" w:lineRule="exact"/>
              <w:ind w:left="-57" w:right="-57"/>
              <w:jc w:val="center"/>
              <w:rPr>
                <w:rFonts w:cs="Times New Roman"/>
                <w:b/>
                <w:bCs/>
                <w:sz w:val="20"/>
                <w:szCs w:val="20"/>
              </w:rPr>
            </w:pPr>
          </w:p>
        </w:tc>
        <w:tc>
          <w:tcPr>
            <w:tcW w:w="385" w:type="pct"/>
            <w:vMerge/>
            <w:tcBorders>
              <w:top w:val="nil"/>
              <w:left w:val="single" w:sz="4" w:space="0" w:color="auto"/>
              <w:bottom w:val="single" w:sz="4" w:space="0" w:color="000000"/>
              <w:right w:val="single" w:sz="4" w:space="0" w:color="auto"/>
            </w:tcBorders>
            <w:vAlign w:val="center"/>
            <w:hideMark/>
          </w:tcPr>
          <w:p w14:paraId="1DF07CC4" w14:textId="77777777" w:rsidR="009E4C91" w:rsidRPr="004F24F9" w:rsidRDefault="009E4C91" w:rsidP="008F191D">
            <w:pPr>
              <w:widowControl w:val="0"/>
              <w:spacing w:before="40" w:after="40" w:line="300" w:lineRule="exact"/>
              <w:ind w:left="-57" w:right="-57"/>
              <w:jc w:val="center"/>
              <w:rPr>
                <w:rFonts w:cs="Times New Roman"/>
                <w:b/>
                <w:bCs/>
                <w:sz w:val="20"/>
                <w:szCs w:val="20"/>
              </w:rPr>
            </w:pPr>
          </w:p>
        </w:tc>
        <w:tc>
          <w:tcPr>
            <w:tcW w:w="385" w:type="pct"/>
            <w:vMerge/>
            <w:tcBorders>
              <w:top w:val="nil"/>
              <w:left w:val="single" w:sz="4" w:space="0" w:color="auto"/>
              <w:bottom w:val="single" w:sz="4" w:space="0" w:color="000000"/>
              <w:right w:val="single" w:sz="4" w:space="0" w:color="auto"/>
            </w:tcBorders>
            <w:vAlign w:val="center"/>
            <w:hideMark/>
          </w:tcPr>
          <w:p w14:paraId="2DEF1BC2" w14:textId="77777777" w:rsidR="009E4C91" w:rsidRPr="004F24F9" w:rsidRDefault="009E4C91" w:rsidP="008F191D">
            <w:pPr>
              <w:widowControl w:val="0"/>
              <w:spacing w:before="40" w:after="40" w:line="300" w:lineRule="exact"/>
              <w:ind w:left="-57" w:right="-57"/>
              <w:jc w:val="center"/>
              <w:rPr>
                <w:rFonts w:cs="Times New Roman"/>
                <w:b/>
                <w:bCs/>
                <w:sz w:val="20"/>
                <w:szCs w:val="20"/>
              </w:rPr>
            </w:pPr>
          </w:p>
        </w:tc>
        <w:tc>
          <w:tcPr>
            <w:tcW w:w="385" w:type="pct"/>
            <w:vMerge/>
            <w:tcBorders>
              <w:top w:val="nil"/>
              <w:left w:val="single" w:sz="4" w:space="0" w:color="auto"/>
              <w:bottom w:val="single" w:sz="4" w:space="0" w:color="auto"/>
              <w:right w:val="single" w:sz="4" w:space="0" w:color="auto"/>
            </w:tcBorders>
            <w:vAlign w:val="center"/>
            <w:hideMark/>
          </w:tcPr>
          <w:p w14:paraId="4908AFED" w14:textId="77777777" w:rsidR="009E4C91" w:rsidRPr="004F24F9" w:rsidRDefault="009E4C91" w:rsidP="008F191D">
            <w:pPr>
              <w:widowControl w:val="0"/>
              <w:spacing w:before="40" w:after="40" w:line="300" w:lineRule="exact"/>
              <w:ind w:left="-57" w:right="-57"/>
              <w:jc w:val="center"/>
              <w:rPr>
                <w:rFonts w:cs="Times New Roman"/>
                <w:b/>
                <w:bCs/>
                <w:spacing w:val="-10"/>
                <w:sz w:val="20"/>
                <w:szCs w:val="20"/>
              </w:rPr>
            </w:pPr>
          </w:p>
        </w:tc>
        <w:tc>
          <w:tcPr>
            <w:tcW w:w="352" w:type="pct"/>
            <w:tcBorders>
              <w:top w:val="nil"/>
              <w:left w:val="nil"/>
              <w:bottom w:val="single" w:sz="4" w:space="0" w:color="auto"/>
              <w:right w:val="single" w:sz="4" w:space="0" w:color="auto"/>
            </w:tcBorders>
            <w:shd w:val="clear" w:color="auto" w:fill="auto"/>
            <w:vAlign w:val="center"/>
            <w:hideMark/>
          </w:tcPr>
          <w:p w14:paraId="6D51F7C1"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261" w:type="pct"/>
            <w:tcBorders>
              <w:top w:val="nil"/>
              <w:left w:val="nil"/>
              <w:bottom w:val="single" w:sz="4" w:space="0" w:color="auto"/>
              <w:right w:val="single" w:sz="4" w:space="0" w:color="auto"/>
            </w:tcBorders>
            <w:shd w:val="clear" w:color="auto" w:fill="auto"/>
            <w:vAlign w:val="center"/>
            <w:hideMark/>
          </w:tcPr>
          <w:p w14:paraId="7C9A8D16"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352" w:type="pct"/>
            <w:tcBorders>
              <w:top w:val="nil"/>
              <w:left w:val="nil"/>
              <w:bottom w:val="single" w:sz="4" w:space="0" w:color="auto"/>
              <w:right w:val="single" w:sz="4" w:space="0" w:color="auto"/>
            </w:tcBorders>
            <w:shd w:val="clear" w:color="auto" w:fill="auto"/>
            <w:vAlign w:val="center"/>
            <w:hideMark/>
          </w:tcPr>
          <w:p w14:paraId="50238D70"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261" w:type="pct"/>
            <w:tcBorders>
              <w:top w:val="nil"/>
              <w:left w:val="nil"/>
              <w:bottom w:val="single" w:sz="4" w:space="0" w:color="auto"/>
              <w:right w:val="single" w:sz="4" w:space="0" w:color="auto"/>
            </w:tcBorders>
            <w:shd w:val="clear" w:color="auto" w:fill="auto"/>
            <w:vAlign w:val="center"/>
            <w:hideMark/>
          </w:tcPr>
          <w:p w14:paraId="7EF5D2AE"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352" w:type="pct"/>
            <w:tcBorders>
              <w:top w:val="nil"/>
              <w:left w:val="nil"/>
              <w:bottom w:val="single" w:sz="4" w:space="0" w:color="auto"/>
              <w:right w:val="single" w:sz="4" w:space="0" w:color="auto"/>
            </w:tcBorders>
            <w:shd w:val="clear" w:color="auto" w:fill="auto"/>
            <w:vAlign w:val="center"/>
            <w:hideMark/>
          </w:tcPr>
          <w:p w14:paraId="37A06AFA"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261" w:type="pct"/>
            <w:tcBorders>
              <w:top w:val="nil"/>
              <w:left w:val="nil"/>
              <w:bottom w:val="single" w:sz="4" w:space="0" w:color="auto"/>
              <w:right w:val="single" w:sz="4" w:space="0" w:color="auto"/>
            </w:tcBorders>
            <w:shd w:val="clear" w:color="auto" w:fill="auto"/>
            <w:vAlign w:val="center"/>
            <w:hideMark/>
          </w:tcPr>
          <w:p w14:paraId="2034C5C6"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352" w:type="pct"/>
            <w:tcBorders>
              <w:top w:val="nil"/>
              <w:left w:val="nil"/>
              <w:bottom w:val="single" w:sz="4" w:space="0" w:color="auto"/>
              <w:right w:val="single" w:sz="4" w:space="0" w:color="auto"/>
            </w:tcBorders>
            <w:shd w:val="clear" w:color="auto" w:fill="auto"/>
            <w:vAlign w:val="center"/>
            <w:hideMark/>
          </w:tcPr>
          <w:p w14:paraId="23940550"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c>
          <w:tcPr>
            <w:tcW w:w="261" w:type="pct"/>
            <w:tcBorders>
              <w:top w:val="nil"/>
              <w:left w:val="nil"/>
              <w:bottom w:val="single" w:sz="4" w:space="0" w:color="auto"/>
              <w:right w:val="single" w:sz="4" w:space="0" w:color="auto"/>
            </w:tcBorders>
            <w:shd w:val="clear" w:color="auto" w:fill="auto"/>
            <w:vAlign w:val="center"/>
            <w:hideMark/>
          </w:tcPr>
          <w:p w14:paraId="009C9360"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w:t>
            </w:r>
          </w:p>
        </w:tc>
      </w:tr>
      <w:tr w:rsidR="004F24F9" w:rsidRPr="004F24F9" w14:paraId="44EAFA3A" w14:textId="77777777" w:rsidTr="00483C6A">
        <w:trPr>
          <w:trHeight w:val="370"/>
          <w:jc w:val="center"/>
        </w:trPr>
        <w:tc>
          <w:tcPr>
            <w:tcW w:w="628" w:type="pct"/>
            <w:tcBorders>
              <w:top w:val="nil"/>
              <w:left w:val="single" w:sz="4" w:space="0" w:color="auto"/>
              <w:bottom w:val="single" w:sz="4" w:space="0" w:color="auto"/>
              <w:right w:val="single" w:sz="4" w:space="0" w:color="auto"/>
            </w:tcBorders>
            <w:shd w:val="clear" w:color="auto" w:fill="auto"/>
            <w:vAlign w:val="center"/>
            <w:hideMark/>
          </w:tcPr>
          <w:p w14:paraId="39C59635" w14:textId="77777777" w:rsidR="009E4C91" w:rsidRPr="004F24F9" w:rsidRDefault="009E4C91" w:rsidP="008F191D">
            <w:pPr>
              <w:widowControl w:val="0"/>
              <w:spacing w:before="40" w:after="40" w:line="300" w:lineRule="exact"/>
              <w:ind w:left="-57" w:right="-57"/>
              <w:jc w:val="center"/>
              <w:rPr>
                <w:rFonts w:cs="Times New Roman"/>
                <w:spacing w:val="-6"/>
                <w:sz w:val="20"/>
                <w:szCs w:val="20"/>
              </w:rPr>
            </w:pPr>
            <w:r w:rsidRPr="004F24F9">
              <w:rPr>
                <w:rFonts w:cs="Times New Roman"/>
                <w:spacing w:val="-6"/>
                <w:sz w:val="20"/>
                <w:szCs w:val="20"/>
              </w:rPr>
              <w:t xml:space="preserve">Nguồn vốn nhận ủy thác từ </w:t>
            </w:r>
            <w:r w:rsidRPr="004F24F9">
              <w:rPr>
                <w:rFonts w:cs="Times New Roman"/>
                <w:spacing w:val="-6"/>
                <w:sz w:val="20"/>
                <w:szCs w:val="20"/>
              </w:rPr>
              <w:lastRenderedPageBreak/>
              <w:t>ngân sách cấp tỉnh</w:t>
            </w:r>
          </w:p>
        </w:tc>
        <w:tc>
          <w:tcPr>
            <w:tcW w:w="384" w:type="pct"/>
            <w:tcBorders>
              <w:top w:val="nil"/>
              <w:left w:val="nil"/>
              <w:bottom w:val="single" w:sz="4" w:space="0" w:color="auto"/>
              <w:right w:val="single" w:sz="4" w:space="0" w:color="auto"/>
            </w:tcBorders>
            <w:shd w:val="clear" w:color="auto" w:fill="auto"/>
            <w:vAlign w:val="center"/>
          </w:tcPr>
          <w:p w14:paraId="6C202F0E"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lastRenderedPageBreak/>
              <w:t>337.118</w:t>
            </w:r>
          </w:p>
        </w:tc>
        <w:tc>
          <w:tcPr>
            <w:tcW w:w="384" w:type="pct"/>
            <w:tcBorders>
              <w:top w:val="nil"/>
              <w:left w:val="nil"/>
              <w:bottom w:val="single" w:sz="4" w:space="0" w:color="auto"/>
              <w:right w:val="single" w:sz="4" w:space="0" w:color="auto"/>
            </w:tcBorders>
            <w:shd w:val="clear" w:color="auto" w:fill="auto"/>
            <w:vAlign w:val="center"/>
          </w:tcPr>
          <w:p w14:paraId="29BA0C4C"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442.839</w:t>
            </w:r>
          </w:p>
        </w:tc>
        <w:tc>
          <w:tcPr>
            <w:tcW w:w="385" w:type="pct"/>
            <w:tcBorders>
              <w:top w:val="nil"/>
              <w:left w:val="nil"/>
              <w:bottom w:val="single" w:sz="4" w:space="0" w:color="auto"/>
              <w:right w:val="single" w:sz="4" w:space="0" w:color="auto"/>
            </w:tcBorders>
            <w:shd w:val="clear" w:color="auto" w:fill="auto"/>
            <w:vAlign w:val="center"/>
          </w:tcPr>
          <w:p w14:paraId="61767BC6"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564.881</w:t>
            </w:r>
          </w:p>
        </w:tc>
        <w:tc>
          <w:tcPr>
            <w:tcW w:w="385" w:type="pct"/>
            <w:tcBorders>
              <w:top w:val="nil"/>
              <w:left w:val="nil"/>
              <w:bottom w:val="single" w:sz="4" w:space="0" w:color="auto"/>
              <w:right w:val="single" w:sz="4" w:space="0" w:color="auto"/>
            </w:tcBorders>
            <w:shd w:val="clear" w:color="auto" w:fill="auto"/>
            <w:vAlign w:val="center"/>
          </w:tcPr>
          <w:p w14:paraId="197755AA"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752.592</w:t>
            </w:r>
          </w:p>
        </w:tc>
        <w:tc>
          <w:tcPr>
            <w:tcW w:w="385" w:type="pct"/>
            <w:tcBorders>
              <w:top w:val="nil"/>
              <w:left w:val="nil"/>
              <w:bottom w:val="single" w:sz="4" w:space="0" w:color="auto"/>
              <w:right w:val="single" w:sz="4" w:space="0" w:color="auto"/>
            </w:tcBorders>
            <w:shd w:val="clear" w:color="auto" w:fill="auto"/>
            <w:vAlign w:val="center"/>
          </w:tcPr>
          <w:p w14:paraId="121E2278" w14:textId="77777777" w:rsidR="009E4C91" w:rsidRPr="004F24F9" w:rsidRDefault="009E4C91" w:rsidP="008F191D">
            <w:pPr>
              <w:widowControl w:val="0"/>
              <w:spacing w:before="40" w:after="40" w:line="300" w:lineRule="exact"/>
              <w:ind w:left="-113"/>
              <w:jc w:val="center"/>
              <w:rPr>
                <w:rFonts w:cs="Times New Roman"/>
                <w:spacing w:val="-10"/>
                <w:sz w:val="20"/>
                <w:szCs w:val="20"/>
              </w:rPr>
            </w:pPr>
            <w:r w:rsidRPr="004F24F9">
              <w:rPr>
                <w:rFonts w:cs="Times New Roman"/>
                <w:sz w:val="20"/>
                <w:szCs w:val="20"/>
              </w:rPr>
              <w:t>907.971</w:t>
            </w:r>
          </w:p>
        </w:tc>
        <w:tc>
          <w:tcPr>
            <w:tcW w:w="352" w:type="pct"/>
            <w:tcBorders>
              <w:top w:val="nil"/>
              <w:left w:val="nil"/>
              <w:bottom w:val="single" w:sz="4" w:space="0" w:color="auto"/>
              <w:right w:val="single" w:sz="4" w:space="0" w:color="auto"/>
            </w:tcBorders>
            <w:shd w:val="clear" w:color="auto" w:fill="auto"/>
            <w:vAlign w:val="center"/>
          </w:tcPr>
          <w:p w14:paraId="291D028D"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105.721</w:t>
            </w:r>
          </w:p>
        </w:tc>
        <w:tc>
          <w:tcPr>
            <w:tcW w:w="261" w:type="pct"/>
            <w:tcBorders>
              <w:top w:val="nil"/>
              <w:left w:val="nil"/>
              <w:bottom w:val="single" w:sz="4" w:space="0" w:color="auto"/>
              <w:right w:val="single" w:sz="4" w:space="0" w:color="auto"/>
            </w:tcBorders>
            <w:shd w:val="clear" w:color="auto" w:fill="auto"/>
            <w:vAlign w:val="center"/>
          </w:tcPr>
          <w:p w14:paraId="58F7B476"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31,36</w:t>
            </w:r>
          </w:p>
        </w:tc>
        <w:tc>
          <w:tcPr>
            <w:tcW w:w="352" w:type="pct"/>
            <w:tcBorders>
              <w:top w:val="nil"/>
              <w:left w:val="nil"/>
              <w:bottom w:val="single" w:sz="4" w:space="0" w:color="auto"/>
              <w:right w:val="single" w:sz="4" w:space="0" w:color="auto"/>
            </w:tcBorders>
            <w:shd w:val="clear" w:color="auto" w:fill="auto"/>
            <w:vAlign w:val="center"/>
          </w:tcPr>
          <w:p w14:paraId="31D2F985"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122.042</w:t>
            </w:r>
          </w:p>
        </w:tc>
        <w:tc>
          <w:tcPr>
            <w:tcW w:w="261" w:type="pct"/>
            <w:tcBorders>
              <w:top w:val="nil"/>
              <w:left w:val="nil"/>
              <w:bottom w:val="single" w:sz="4" w:space="0" w:color="auto"/>
              <w:right w:val="single" w:sz="4" w:space="0" w:color="auto"/>
            </w:tcBorders>
            <w:shd w:val="clear" w:color="auto" w:fill="auto"/>
            <w:vAlign w:val="center"/>
          </w:tcPr>
          <w:p w14:paraId="05BB3751"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27,56</w:t>
            </w:r>
          </w:p>
        </w:tc>
        <w:tc>
          <w:tcPr>
            <w:tcW w:w="352" w:type="pct"/>
            <w:tcBorders>
              <w:top w:val="nil"/>
              <w:left w:val="nil"/>
              <w:bottom w:val="single" w:sz="4" w:space="0" w:color="auto"/>
              <w:right w:val="single" w:sz="4" w:space="0" w:color="auto"/>
            </w:tcBorders>
            <w:shd w:val="clear" w:color="auto" w:fill="auto"/>
            <w:vAlign w:val="center"/>
          </w:tcPr>
          <w:p w14:paraId="7A45C34A"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187.711</w:t>
            </w:r>
          </w:p>
        </w:tc>
        <w:tc>
          <w:tcPr>
            <w:tcW w:w="261" w:type="pct"/>
            <w:tcBorders>
              <w:top w:val="nil"/>
              <w:left w:val="nil"/>
              <w:bottom w:val="single" w:sz="4" w:space="0" w:color="auto"/>
              <w:right w:val="single" w:sz="4" w:space="0" w:color="auto"/>
            </w:tcBorders>
            <w:shd w:val="clear" w:color="auto" w:fill="auto"/>
            <w:vAlign w:val="center"/>
          </w:tcPr>
          <w:p w14:paraId="6161D5CF"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33,23</w:t>
            </w:r>
          </w:p>
        </w:tc>
        <w:tc>
          <w:tcPr>
            <w:tcW w:w="352" w:type="pct"/>
            <w:tcBorders>
              <w:top w:val="nil"/>
              <w:left w:val="nil"/>
              <w:bottom w:val="single" w:sz="4" w:space="0" w:color="auto"/>
              <w:right w:val="single" w:sz="4" w:space="0" w:color="auto"/>
            </w:tcBorders>
            <w:shd w:val="clear" w:color="auto" w:fill="auto"/>
            <w:vAlign w:val="center"/>
          </w:tcPr>
          <w:p w14:paraId="01543DA5"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155.379</w:t>
            </w:r>
          </w:p>
        </w:tc>
        <w:tc>
          <w:tcPr>
            <w:tcW w:w="261" w:type="pct"/>
            <w:tcBorders>
              <w:top w:val="nil"/>
              <w:left w:val="nil"/>
              <w:bottom w:val="single" w:sz="4" w:space="0" w:color="auto"/>
              <w:right w:val="single" w:sz="4" w:space="0" w:color="auto"/>
            </w:tcBorders>
            <w:shd w:val="clear" w:color="auto" w:fill="auto"/>
            <w:vAlign w:val="center"/>
          </w:tcPr>
          <w:p w14:paraId="17CD9572"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20,65</w:t>
            </w:r>
          </w:p>
        </w:tc>
      </w:tr>
      <w:tr w:rsidR="004F24F9" w:rsidRPr="004F24F9" w14:paraId="30E0D03A" w14:textId="77777777" w:rsidTr="008F191D">
        <w:trPr>
          <w:trHeight w:val="697"/>
          <w:jc w:val="center"/>
        </w:trPr>
        <w:tc>
          <w:tcPr>
            <w:tcW w:w="628" w:type="pct"/>
            <w:tcBorders>
              <w:top w:val="nil"/>
              <w:left w:val="single" w:sz="4" w:space="0" w:color="auto"/>
              <w:bottom w:val="single" w:sz="4" w:space="0" w:color="auto"/>
              <w:right w:val="single" w:sz="4" w:space="0" w:color="auto"/>
            </w:tcBorders>
            <w:shd w:val="clear" w:color="auto" w:fill="auto"/>
            <w:vAlign w:val="center"/>
          </w:tcPr>
          <w:p w14:paraId="058E50D0" w14:textId="77777777" w:rsidR="009E4C91" w:rsidRPr="004F24F9" w:rsidRDefault="009E4C91" w:rsidP="008F191D">
            <w:pPr>
              <w:widowControl w:val="0"/>
              <w:spacing w:before="40" w:after="40" w:line="300" w:lineRule="exact"/>
              <w:ind w:left="-57" w:right="-57"/>
              <w:jc w:val="center"/>
              <w:rPr>
                <w:rFonts w:cs="Times New Roman"/>
                <w:sz w:val="20"/>
                <w:szCs w:val="20"/>
              </w:rPr>
            </w:pPr>
            <w:r w:rsidRPr="004F24F9">
              <w:rPr>
                <w:rFonts w:cs="Times New Roman"/>
                <w:sz w:val="20"/>
                <w:szCs w:val="20"/>
              </w:rPr>
              <w:lastRenderedPageBreak/>
              <w:t>Nguồn vốn nhận ủy thác từ ngân sách cấp huyện</w:t>
            </w:r>
          </w:p>
        </w:tc>
        <w:tc>
          <w:tcPr>
            <w:tcW w:w="384" w:type="pct"/>
            <w:tcBorders>
              <w:top w:val="nil"/>
              <w:left w:val="nil"/>
              <w:bottom w:val="single" w:sz="4" w:space="0" w:color="auto"/>
              <w:right w:val="single" w:sz="4" w:space="0" w:color="auto"/>
            </w:tcBorders>
            <w:shd w:val="clear" w:color="auto" w:fill="auto"/>
            <w:vAlign w:val="center"/>
          </w:tcPr>
          <w:p w14:paraId="3FBEED2A"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105.666</w:t>
            </w:r>
          </w:p>
        </w:tc>
        <w:tc>
          <w:tcPr>
            <w:tcW w:w="384" w:type="pct"/>
            <w:tcBorders>
              <w:top w:val="nil"/>
              <w:left w:val="nil"/>
              <w:bottom w:val="single" w:sz="4" w:space="0" w:color="auto"/>
              <w:right w:val="single" w:sz="4" w:space="0" w:color="auto"/>
            </w:tcBorders>
            <w:shd w:val="clear" w:color="auto" w:fill="auto"/>
            <w:vAlign w:val="center"/>
          </w:tcPr>
          <w:p w14:paraId="1A9D478A"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148.362</w:t>
            </w:r>
          </w:p>
        </w:tc>
        <w:tc>
          <w:tcPr>
            <w:tcW w:w="385" w:type="pct"/>
            <w:tcBorders>
              <w:top w:val="nil"/>
              <w:left w:val="nil"/>
              <w:bottom w:val="single" w:sz="4" w:space="0" w:color="auto"/>
              <w:right w:val="single" w:sz="4" w:space="0" w:color="auto"/>
            </w:tcBorders>
            <w:shd w:val="clear" w:color="auto" w:fill="auto"/>
            <w:vAlign w:val="center"/>
          </w:tcPr>
          <w:p w14:paraId="1ECE4676"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192.465</w:t>
            </w:r>
          </w:p>
        </w:tc>
        <w:tc>
          <w:tcPr>
            <w:tcW w:w="385" w:type="pct"/>
            <w:tcBorders>
              <w:top w:val="nil"/>
              <w:left w:val="nil"/>
              <w:bottom w:val="single" w:sz="4" w:space="0" w:color="auto"/>
              <w:right w:val="single" w:sz="4" w:space="0" w:color="auto"/>
            </w:tcBorders>
            <w:shd w:val="clear" w:color="auto" w:fill="auto"/>
            <w:vAlign w:val="center"/>
          </w:tcPr>
          <w:p w14:paraId="6A71E1B9"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251.786</w:t>
            </w:r>
          </w:p>
        </w:tc>
        <w:tc>
          <w:tcPr>
            <w:tcW w:w="385" w:type="pct"/>
            <w:tcBorders>
              <w:top w:val="nil"/>
              <w:left w:val="nil"/>
              <w:bottom w:val="single" w:sz="4" w:space="0" w:color="auto"/>
              <w:right w:val="single" w:sz="4" w:space="0" w:color="auto"/>
            </w:tcBorders>
            <w:shd w:val="clear" w:color="auto" w:fill="auto"/>
            <w:vAlign w:val="center"/>
          </w:tcPr>
          <w:p w14:paraId="2DED73A3" w14:textId="77777777" w:rsidR="009E4C91" w:rsidRPr="004F24F9" w:rsidRDefault="009E4C91" w:rsidP="008F191D">
            <w:pPr>
              <w:widowControl w:val="0"/>
              <w:spacing w:before="40" w:after="40" w:line="300" w:lineRule="exact"/>
              <w:ind w:left="-113"/>
              <w:jc w:val="center"/>
              <w:rPr>
                <w:rFonts w:cs="Times New Roman"/>
                <w:spacing w:val="-10"/>
                <w:sz w:val="20"/>
                <w:szCs w:val="20"/>
              </w:rPr>
            </w:pPr>
            <w:r w:rsidRPr="004F24F9">
              <w:rPr>
                <w:rFonts w:cs="Times New Roman"/>
                <w:sz w:val="20"/>
                <w:szCs w:val="20"/>
              </w:rPr>
              <w:t>330.936</w:t>
            </w:r>
          </w:p>
        </w:tc>
        <w:tc>
          <w:tcPr>
            <w:tcW w:w="352" w:type="pct"/>
            <w:tcBorders>
              <w:top w:val="nil"/>
              <w:left w:val="nil"/>
              <w:bottom w:val="single" w:sz="4" w:space="0" w:color="auto"/>
              <w:right w:val="single" w:sz="4" w:space="0" w:color="auto"/>
            </w:tcBorders>
            <w:shd w:val="clear" w:color="auto" w:fill="auto"/>
            <w:vAlign w:val="center"/>
          </w:tcPr>
          <w:p w14:paraId="097A109B"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42.696</w:t>
            </w:r>
          </w:p>
        </w:tc>
        <w:tc>
          <w:tcPr>
            <w:tcW w:w="261" w:type="pct"/>
            <w:tcBorders>
              <w:top w:val="nil"/>
              <w:left w:val="nil"/>
              <w:bottom w:val="single" w:sz="4" w:space="0" w:color="auto"/>
              <w:right w:val="single" w:sz="4" w:space="0" w:color="auto"/>
            </w:tcBorders>
            <w:shd w:val="clear" w:color="auto" w:fill="auto"/>
            <w:vAlign w:val="center"/>
          </w:tcPr>
          <w:p w14:paraId="2ADBBC5D"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40,41</w:t>
            </w:r>
          </w:p>
        </w:tc>
        <w:tc>
          <w:tcPr>
            <w:tcW w:w="352" w:type="pct"/>
            <w:tcBorders>
              <w:top w:val="nil"/>
              <w:left w:val="nil"/>
              <w:bottom w:val="single" w:sz="4" w:space="0" w:color="auto"/>
              <w:right w:val="single" w:sz="4" w:space="0" w:color="auto"/>
            </w:tcBorders>
            <w:shd w:val="clear" w:color="auto" w:fill="auto"/>
            <w:vAlign w:val="center"/>
          </w:tcPr>
          <w:p w14:paraId="4AD5FC26"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44.103</w:t>
            </w:r>
          </w:p>
        </w:tc>
        <w:tc>
          <w:tcPr>
            <w:tcW w:w="261" w:type="pct"/>
            <w:tcBorders>
              <w:top w:val="nil"/>
              <w:left w:val="nil"/>
              <w:bottom w:val="single" w:sz="4" w:space="0" w:color="auto"/>
              <w:right w:val="single" w:sz="4" w:space="0" w:color="auto"/>
            </w:tcBorders>
            <w:shd w:val="clear" w:color="auto" w:fill="auto"/>
            <w:vAlign w:val="center"/>
          </w:tcPr>
          <w:p w14:paraId="0E3718C5"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29,73</w:t>
            </w:r>
          </w:p>
        </w:tc>
        <w:tc>
          <w:tcPr>
            <w:tcW w:w="352" w:type="pct"/>
            <w:tcBorders>
              <w:top w:val="nil"/>
              <w:left w:val="nil"/>
              <w:bottom w:val="single" w:sz="4" w:space="0" w:color="auto"/>
              <w:right w:val="single" w:sz="4" w:space="0" w:color="auto"/>
            </w:tcBorders>
            <w:shd w:val="clear" w:color="auto" w:fill="auto"/>
            <w:vAlign w:val="center"/>
          </w:tcPr>
          <w:p w14:paraId="72BE04AC"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59.321</w:t>
            </w:r>
          </w:p>
        </w:tc>
        <w:tc>
          <w:tcPr>
            <w:tcW w:w="261" w:type="pct"/>
            <w:tcBorders>
              <w:top w:val="nil"/>
              <w:left w:val="nil"/>
              <w:bottom w:val="single" w:sz="4" w:space="0" w:color="auto"/>
              <w:right w:val="single" w:sz="4" w:space="0" w:color="auto"/>
            </w:tcBorders>
            <w:shd w:val="clear" w:color="auto" w:fill="auto"/>
            <w:vAlign w:val="center"/>
          </w:tcPr>
          <w:p w14:paraId="7EC622C8"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30,82</w:t>
            </w:r>
          </w:p>
        </w:tc>
        <w:tc>
          <w:tcPr>
            <w:tcW w:w="352" w:type="pct"/>
            <w:tcBorders>
              <w:top w:val="nil"/>
              <w:left w:val="nil"/>
              <w:bottom w:val="single" w:sz="4" w:space="0" w:color="auto"/>
              <w:right w:val="single" w:sz="4" w:space="0" w:color="auto"/>
            </w:tcBorders>
            <w:shd w:val="clear" w:color="auto" w:fill="auto"/>
            <w:vAlign w:val="center"/>
          </w:tcPr>
          <w:p w14:paraId="12314CDE"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79.150</w:t>
            </w:r>
          </w:p>
        </w:tc>
        <w:tc>
          <w:tcPr>
            <w:tcW w:w="261" w:type="pct"/>
            <w:tcBorders>
              <w:top w:val="nil"/>
              <w:left w:val="nil"/>
              <w:bottom w:val="single" w:sz="4" w:space="0" w:color="auto"/>
              <w:right w:val="single" w:sz="4" w:space="0" w:color="auto"/>
            </w:tcBorders>
            <w:shd w:val="clear" w:color="auto" w:fill="auto"/>
            <w:vAlign w:val="center"/>
          </w:tcPr>
          <w:p w14:paraId="085E9E05" w14:textId="77777777" w:rsidR="009E4C91" w:rsidRPr="004F24F9" w:rsidRDefault="009E4C91" w:rsidP="008F191D">
            <w:pPr>
              <w:widowControl w:val="0"/>
              <w:spacing w:before="40" w:after="40" w:line="300" w:lineRule="exact"/>
              <w:ind w:left="-113" w:right="-57"/>
              <w:jc w:val="center"/>
              <w:rPr>
                <w:rFonts w:cs="Times New Roman"/>
                <w:spacing w:val="-10"/>
                <w:sz w:val="20"/>
                <w:szCs w:val="20"/>
              </w:rPr>
            </w:pPr>
            <w:r w:rsidRPr="004F24F9">
              <w:rPr>
                <w:rFonts w:cs="Times New Roman"/>
                <w:sz w:val="20"/>
                <w:szCs w:val="20"/>
              </w:rPr>
              <w:t>31,44</w:t>
            </w:r>
          </w:p>
        </w:tc>
      </w:tr>
      <w:tr w:rsidR="004F24F9" w:rsidRPr="004F24F9" w14:paraId="53BDB05D" w14:textId="77777777" w:rsidTr="008F191D">
        <w:trPr>
          <w:trHeight w:val="422"/>
          <w:jc w:val="center"/>
        </w:trPr>
        <w:tc>
          <w:tcPr>
            <w:tcW w:w="628" w:type="pct"/>
            <w:tcBorders>
              <w:top w:val="nil"/>
              <w:left w:val="single" w:sz="4" w:space="0" w:color="auto"/>
              <w:bottom w:val="single" w:sz="4" w:space="0" w:color="auto"/>
              <w:right w:val="single" w:sz="4" w:space="0" w:color="auto"/>
            </w:tcBorders>
            <w:shd w:val="clear" w:color="auto" w:fill="auto"/>
            <w:hideMark/>
          </w:tcPr>
          <w:p w14:paraId="3BA11391" w14:textId="77777777" w:rsidR="009E4C91" w:rsidRPr="004F24F9" w:rsidRDefault="009E4C91" w:rsidP="008F191D">
            <w:pPr>
              <w:widowControl w:val="0"/>
              <w:spacing w:before="40" w:after="40" w:line="300" w:lineRule="exact"/>
              <w:ind w:left="-57" w:right="-57"/>
              <w:jc w:val="center"/>
              <w:rPr>
                <w:rFonts w:cs="Times New Roman"/>
                <w:b/>
                <w:bCs/>
                <w:sz w:val="20"/>
                <w:szCs w:val="20"/>
              </w:rPr>
            </w:pPr>
            <w:r w:rsidRPr="004F24F9">
              <w:rPr>
                <w:rFonts w:cs="Times New Roman"/>
                <w:b/>
                <w:bCs/>
                <w:sz w:val="20"/>
                <w:szCs w:val="20"/>
              </w:rPr>
              <w:t>Tổng cộng</w:t>
            </w:r>
          </w:p>
        </w:tc>
        <w:tc>
          <w:tcPr>
            <w:tcW w:w="384" w:type="pct"/>
            <w:tcBorders>
              <w:top w:val="nil"/>
              <w:left w:val="nil"/>
              <w:bottom w:val="single" w:sz="4" w:space="0" w:color="auto"/>
              <w:right w:val="single" w:sz="4" w:space="0" w:color="auto"/>
            </w:tcBorders>
            <w:shd w:val="clear" w:color="auto" w:fill="auto"/>
          </w:tcPr>
          <w:p w14:paraId="2D787AFE"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442.784</w:t>
            </w:r>
          </w:p>
        </w:tc>
        <w:tc>
          <w:tcPr>
            <w:tcW w:w="384" w:type="pct"/>
            <w:tcBorders>
              <w:top w:val="nil"/>
              <w:left w:val="nil"/>
              <w:bottom w:val="single" w:sz="4" w:space="0" w:color="auto"/>
              <w:right w:val="single" w:sz="4" w:space="0" w:color="auto"/>
            </w:tcBorders>
            <w:shd w:val="clear" w:color="auto" w:fill="auto"/>
          </w:tcPr>
          <w:p w14:paraId="02132989"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591.201</w:t>
            </w:r>
          </w:p>
        </w:tc>
        <w:tc>
          <w:tcPr>
            <w:tcW w:w="385" w:type="pct"/>
            <w:tcBorders>
              <w:top w:val="nil"/>
              <w:left w:val="nil"/>
              <w:bottom w:val="single" w:sz="4" w:space="0" w:color="auto"/>
              <w:right w:val="single" w:sz="4" w:space="0" w:color="auto"/>
            </w:tcBorders>
            <w:shd w:val="clear" w:color="auto" w:fill="auto"/>
          </w:tcPr>
          <w:p w14:paraId="342D1648"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757.346</w:t>
            </w:r>
          </w:p>
        </w:tc>
        <w:tc>
          <w:tcPr>
            <w:tcW w:w="385" w:type="pct"/>
            <w:tcBorders>
              <w:top w:val="nil"/>
              <w:left w:val="nil"/>
              <w:bottom w:val="single" w:sz="4" w:space="0" w:color="auto"/>
              <w:right w:val="single" w:sz="4" w:space="0" w:color="auto"/>
            </w:tcBorders>
            <w:shd w:val="clear" w:color="auto" w:fill="auto"/>
          </w:tcPr>
          <w:p w14:paraId="40BC93C3"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1.004.378</w:t>
            </w:r>
          </w:p>
        </w:tc>
        <w:tc>
          <w:tcPr>
            <w:tcW w:w="385" w:type="pct"/>
            <w:tcBorders>
              <w:top w:val="nil"/>
              <w:left w:val="nil"/>
              <w:bottom w:val="single" w:sz="4" w:space="0" w:color="auto"/>
              <w:right w:val="single" w:sz="4" w:space="0" w:color="auto"/>
            </w:tcBorders>
            <w:shd w:val="clear" w:color="auto" w:fill="auto"/>
          </w:tcPr>
          <w:p w14:paraId="1D7D74E3" w14:textId="77777777" w:rsidR="009E4C91" w:rsidRPr="004F24F9" w:rsidRDefault="009E4C91" w:rsidP="008F191D">
            <w:pPr>
              <w:widowControl w:val="0"/>
              <w:spacing w:before="40" w:after="40" w:line="300" w:lineRule="exact"/>
              <w:ind w:left="-113"/>
              <w:jc w:val="center"/>
              <w:rPr>
                <w:rFonts w:cs="Times New Roman"/>
                <w:b/>
                <w:bCs/>
                <w:spacing w:val="-10"/>
                <w:sz w:val="20"/>
                <w:szCs w:val="20"/>
              </w:rPr>
            </w:pPr>
            <w:r w:rsidRPr="004F24F9">
              <w:rPr>
                <w:rFonts w:cs="Times New Roman"/>
                <w:b/>
                <w:bCs/>
                <w:sz w:val="20"/>
                <w:szCs w:val="20"/>
              </w:rPr>
              <w:t>1.238.907</w:t>
            </w:r>
          </w:p>
        </w:tc>
        <w:tc>
          <w:tcPr>
            <w:tcW w:w="352" w:type="pct"/>
            <w:tcBorders>
              <w:top w:val="nil"/>
              <w:left w:val="nil"/>
              <w:bottom w:val="single" w:sz="4" w:space="0" w:color="auto"/>
              <w:right w:val="single" w:sz="4" w:space="0" w:color="auto"/>
            </w:tcBorders>
            <w:shd w:val="clear" w:color="auto" w:fill="auto"/>
          </w:tcPr>
          <w:p w14:paraId="70F9E228"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148.417</w:t>
            </w:r>
          </w:p>
        </w:tc>
        <w:tc>
          <w:tcPr>
            <w:tcW w:w="261" w:type="pct"/>
            <w:tcBorders>
              <w:top w:val="nil"/>
              <w:left w:val="nil"/>
              <w:bottom w:val="single" w:sz="4" w:space="0" w:color="auto"/>
              <w:right w:val="single" w:sz="4" w:space="0" w:color="auto"/>
            </w:tcBorders>
            <w:shd w:val="clear" w:color="auto" w:fill="auto"/>
          </w:tcPr>
          <w:p w14:paraId="3D66137D"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33,52</w:t>
            </w:r>
          </w:p>
        </w:tc>
        <w:tc>
          <w:tcPr>
            <w:tcW w:w="352" w:type="pct"/>
            <w:tcBorders>
              <w:top w:val="nil"/>
              <w:left w:val="nil"/>
              <w:bottom w:val="single" w:sz="4" w:space="0" w:color="auto"/>
              <w:right w:val="single" w:sz="4" w:space="0" w:color="auto"/>
            </w:tcBorders>
            <w:shd w:val="clear" w:color="auto" w:fill="auto"/>
          </w:tcPr>
          <w:p w14:paraId="10067F1A"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166.145</w:t>
            </w:r>
          </w:p>
        </w:tc>
        <w:tc>
          <w:tcPr>
            <w:tcW w:w="261" w:type="pct"/>
            <w:tcBorders>
              <w:top w:val="nil"/>
              <w:left w:val="nil"/>
              <w:bottom w:val="single" w:sz="4" w:space="0" w:color="auto"/>
              <w:right w:val="single" w:sz="4" w:space="0" w:color="auto"/>
            </w:tcBorders>
            <w:shd w:val="clear" w:color="auto" w:fill="auto"/>
          </w:tcPr>
          <w:p w14:paraId="6446B001"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28,10</w:t>
            </w:r>
          </w:p>
        </w:tc>
        <w:tc>
          <w:tcPr>
            <w:tcW w:w="352" w:type="pct"/>
            <w:tcBorders>
              <w:top w:val="nil"/>
              <w:left w:val="nil"/>
              <w:bottom w:val="single" w:sz="4" w:space="0" w:color="auto"/>
              <w:right w:val="single" w:sz="4" w:space="0" w:color="auto"/>
            </w:tcBorders>
            <w:shd w:val="clear" w:color="auto" w:fill="auto"/>
          </w:tcPr>
          <w:p w14:paraId="06DB12F9"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247.032</w:t>
            </w:r>
          </w:p>
        </w:tc>
        <w:tc>
          <w:tcPr>
            <w:tcW w:w="261" w:type="pct"/>
            <w:tcBorders>
              <w:top w:val="nil"/>
              <w:left w:val="nil"/>
              <w:bottom w:val="single" w:sz="4" w:space="0" w:color="auto"/>
              <w:right w:val="single" w:sz="4" w:space="0" w:color="auto"/>
            </w:tcBorders>
            <w:shd w:val="clear" w:color="auto" w:fill="auto"/>
          </w:tcPr>
          <w:p w14:paraId="1D73908F"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32,62</w:t>
            </w:r>
          </w:p>
        </w:tc>
        <w:tc>
          <w:tcPr>
            <w:tcW w:w="352" w:type="pct"/>
            <w:tcBorders>
              <w:top w:val="nil"/>
              <w:left w:val="nil"/>
              <w:bottom w:val="single" w:sz="4" w:space="0" w:color="auto"/>
              <w:right w:val="single" w:sz="4" w:space="0" w:color="auto"/>
            </w:tcBorders>
            <w:shd w:val="clear" w:color="auto" w:fill="auto"/>
          </w:tcPr>
          <w:p w14:paraId="757D76F7"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234.529</w:t>
            </w:r>
          </w:p>
        </w:tc>
        <w:tc>
          <w:tcPr>
            <w:tcW w:w="261" w:type="pct"/>
            <w:tcBorders>
              <w:top w:val="nil"/>
              <w:left w:val="nil"/>
              <w:bottom w:val="single" w:sz="4" w:space="0" w:color="auto"/>
              <w:right w:val="single" w:sz="4" w:space="0" w:color="auto"/>
            </w:tcBorders>
            <w:shd w:val="clear" w:color="auto" w:fill="auto"/>
          </w:tcPr>
          <w:p w14:paraId="6949EAB2" w14:textId="77777777" w:rsidR="009E4C91" w:rsidRPr="004F24F9" w:rsidRDefault="009E4C91" w:rsidP="008F191D">
            <w:pPr>
              <w:widowControl w:val="0"/>
              <w:spacing w:before="40" w:after="40" w:line="300" w:lineRule="exact"/>
              <w:ind w:left="-113" w:right="-57"/>
              <w:jc w:val="center"/>
              <w:rPr>
                <w:rFonts w:cs="Times New Roman"/>
                <w:b/>
                <w:bCs/>
                <w:spacing w:val="-10"/>
                <w:sz w:val="20"/>
                <w:szCs w:val="20"/>
              </w:rPr>
            </w:pPr>
            <w:r w:rsidRPr="004F24F9">
              <w:rPr>
                <w:rFonts w:cs="Times New Roman"/>
                <w:b/>
                <w:bCs/>
                <w:sz w:val="20"/>
                <w:szCs w:val="20"/>
              </w:rPr>
              <w:t>23,35</w:t>
            </w:r>
          </w:p>
        </w:tc>
      </w:tr>
    </w:tbl>
    <w:p w14:paraId="2F23C9BC" w14:textId="77777777" w:rsidR="009E4C91" w:rsidRPr="004F24F9" w:rsidRDefault="009E4C91" w:rsidP="00E91C41">
      <w:pPr>
        <w:spacing w:line="340" w:lineRule="exact"/>
        <w:ind w:firstLine="397"/>
        <w:jc w:val="both"/>
        <w:rPr>
          <w:rFonts w:cs="Times New Roman"/>
          <w:iCs/>
          <w:sz w:val="24"/>
          <w:szCs w:val="24"/>
        </w:rPr>
      </w:pPr>
      <w:r w:rsidRPr="004F24F9">
        <w:rPr>
          <w:rFonts w:cs="Times New Roman"/>
          <w:iCs/>
          <w:sz w:val="24"/>
          <w:szCs w:val="24"/>
        </w:rPr>
        <w:t>(Nguồn: Số liệu của Chi nhánh NHCSXH tỉnh Đồng Nai)</w:t>
      </w:r>
    </w:p>
    <w:p w14:paraId="50DEBF9F" w14:textId="77777777" w:rsidR="00104131" w:rsidRPr="004F24F9" w:rsidRDefault="00104131" w:rsidP="00E91C41">
      <w:pPr>
        <w:widowControl w:val="0"/>
        <w:shd w:val="clear" w:color="auto" w:fill="FFFFFF"/>
        <w:spacing w:line="340" w:lineRule="exact"/>
        <w:ind w:firstLine="397"/>
        <w:jc w:val="both"/>
        <w:rPr>
          <w:rFonts w:cs="Times New Roman"/>
          <w:sz w:val="24"/>
          <w:szCs w:val="24"/>
        </w:rPr>
        <w:sectPr w:rsidR="00104131" w:rsidRPr="004F24F9" w:rsidSect="006241F2">
          <w:type w:val="continuous"/>
          <w:pgSz w:w="11057" w:h="15593" w:code="9"/>
          <w:pgMar w:top="1418" w:right="1418" w:bottom="1418" w:left="1418" w:header="964" w:footer="851" w:gutter="0"/>
          <w:cols w:space="708"/>
          <w:docGrid w:linePitch="381"/>
        </w:sectPr>
      </w:pPr>
    </w:p>
    <w:p w14:paraId="0AFF04FF" w14:textId="1BF66CF3" w:rsidR="009E4C91" w:rsidRPr="004F24F9" w:rsidRDefault="009E4C91" w:rsidP="00E91C41">
      <w:pPr>
        <w:widowControl w:val="0"/>
        <w:shd w:val="clear" w:color="auto" w:fill="FFFFFF"/>
        <w:spacing w:line="340" w:lineRule="exact"/>
        <w:ind w:firstLine="397"/>
        <w:jc w:val="both"/>
        <w:rPr>
          <w:rFonts w:cs="Times New Roman"/>
          <w:sz w:val="24"/>
          <w:szCs w:val="24"/>
        </w:rPr>
      </w:pPr>
      <w:r w:rsidRPr="004F24F9">
        <w:rPr>
          <w:rFonts w:cs="Times New Roman"/>
          <w:spacing w:val="-2"/>
          <w:sz w:val="24"/>
          <w:szCs w:val="24"/>
        </w:rPr>
        <w:lastRenderedPageBreak/>
        <w:t>Nguồn vốn ủy thác từ ngân sách tỉnh ngày càng lớn với mứ</w:t>
      </w:r>
      <w:r w:rsidR="005D28C8" w:rsidRPr="004F24F9">
        <w:rPr>
          <w:rFonts w:cs="Times New Roman"/>
          <w:spacing w:val="-2"/>
          <w:sz w:val="24"/>
          <w:szCs w:val="24"/>
        </w:rPr>
        <w:t>c tăng bình quân hằ</w:t>
      </w:r>
      <w:r w:rsidRPr="004F24F9">
        <w:rPr>
          <w:rFonts w:cs="Times New Roman"/>
          <w:spacing w:val="-2"/>
          <w:sz w:val="24"/>
          <w:szCs w:val="24"/>
        </w:rPr>
        <w:t xml:space="preserve">ng năm đạt 142.713 triệu đồng và </w:t>
      </w:r>
      <w:r w:rsidR="005D28C8" w:rsidRPr="004F24F9">
        <w:rPr>
          <w:rFonts w:cs="Times New Roman"/>
          <w:spacing w:val="-2"/>
          <w:sz w:val="24"/>
          <w:szCs w:val="24"/>
        </w:rPr>
        <w:t>tỉ</w:t>
      </w:r>
      <w:r w:rsidRPr="004F24F9">
        <w:rPr>
          <w:rFonts w:cs="Times New Roman"/>
          <w:spacing w:val="-2"/>
          <w:sz w:val="24"/>
          <w:szCs w:val="24"/>
        </w:rPr>
        <w:t xml:space="preserve"> lệ tăng trưởng bình quân là 28,2%. Cụ thể</w:t>
      </w:r>
      <w:r w:rsidR="003E5BE1" w:rsidRPr="004F24F9">
        <w:rPr>
          <w:rFonts w:cs="Times New Roman"/>
          <w:spacing w:val="-2"/>
          <w:sz w:val="24"/>
          <w:szCs w:val="24"/>
          <w:lang w:val="en-US"/>
        </w:rPr>
        <w:t>:</w:t>
      </w:r>
      <w:r w:rsidR="003E5BE1" w:rsidRPr="004F24F9">
        <w:rPr>
          <w:rFonts w:cs="Times New Roman"/>
          <w:spacing w:val="-2"/>
          <w:sz w:val="24"/>
          <w:szCs w:val="24"/>
        </w:rPr>
        <w:t xml:space="preserve"> </w:t>
      </w:r>
      <w:r w:rsidR="003E5BE1" w:rsidRPr="004F24F9">
        <w:rPr>
          <w:rFonts w:cs="Times New Roman"/>
          <w:spacing w:val="-2"/>
          <w:sz w:val="24"/>
          <w:szCs w:val="24"/>
          <w:lang w:val="en-US"/>
        </w:rPr>
        <w:t>N</w:t>
      </w:r>
      <w:r w:rsidRPr="004F24F9">
        <w:rPr>
          <w:rFonts w:cs="Times New Roman"/>
          <w:spacing w:val="-2"/>
          <w:sz w:val="24"/>
          <w:szCs w:val="24"/>
        </w:rPr>
        <w:t>ăm 2020, số dư nguồn vốn là 442.839 triệu đồ</w:t>
      </w:r>
      <w:r w:rsidR="00943665" w:rsidRPr="004F24F9">
        <w:rPr>
          <w:rFonts w:cs="Times New Roman"/>
          <w:spacing w:val="-2"/>
          <w:sz w:val="24"/>
          <w:szCs w:val="24"/>
        </w:rPr>
        <w:t>ng, tăng 31,36</w:t>
      </w:r>
      <w:r w:rsidRPr="004F24F9">
        <w:rPr>
          <w:rFonts w:cs="Times New Roman"/>
          <w:spacing w:val="-2"/>
          <w:sz w:val="24"/>
          <w:szCs w:val="24"/>
        </w:rPr>
        <w:t>% so với năm 2019</w:t>
      </w:r>
      <w:r w:rsidR="00943665" w:rsidRPr="004F24F9">
        <w:rPr>
          <w:rFonts w:cs="Times New Roman"/>
          <w:spacing w:val="-2"/>
          <w:sz w:val="24"/>
          <w:szCs w:val="24"/>
        </w:rPr>
        <w:t>.</w:t>
      </w:r>
      <w:r w:rsidRPr="004F24F9">
        <w:rPr>
          <w:rFonts w:cs="Times New Roman"/>
          <w:spacing w:val="-2"/>
          <w:sz w:val="24"/>
          <w:szCs w:val="24"/>
        </w:rPr>
        <w:t xml:space="preserve"> Năm 2021, số dư là 564.881 triệu đồng, tăng 27,56% so vớ</w:t>
      </w:r>
      <w:r w:rsidR="00943665" w:rsidRPr="004F24F9">
        <w:rPr>
          <w:rFonts w:cs="Times New Roman"/>
          <w:spacing w:val="-2"/>
          <w:sz w:val="24"/>
          <w:szCs w:val="24"/>
        </w:rPr>
        <w:t>i năm 2020.</w:t>
      </w:r>
      <w:r w:rsidRPr="004F24F9">
        <w:rPr>
          <w:rFonts w:cs="Times New Roman"/>
          <w:spacing w:val="-2"/>
          <w:sz w:val="24"/>
          <w:szCs w:val="24"/>
        </w:rPr>
        <w:t xml:space="preserve"> Năm 2022, có số dư là 752.592 triệu đồng, tăng 33,23% so vớ</w:t>
      </w:r>
      <w:r w:rsidR="00943665" w:rsidRPr="004F24F9">
        <w:rPr>
          <w:rFonts w:cs="Times New Roman"/>
          <w:spacing w:val="-2"/>
          <w:sz w:val="24"/>
          <w:szCs w:val="24"/>
        </w:rPr>
        <w:t>i năm 2021.</w:t>
      </w:r>
      <w:r w:rsidRPr="004F24F9">
        <w:rPr>
          <w:rFonts w:cs="Times New Roman"/>
          <w:spacing w:val="-2"/>
          <w:sz w:val="24"/>
          <w:szCs w:val="24"/>
        </w:rPr>
        <w:t xml:space="preserve"> Năm 2023 có số dư 907.971 triệu đồng, tăng 20,65 % so với năm 202</w:t>
      </w:r>
      <w:r w:rsidRPr="004F24F9">
        <w:rPr>
          <w:rFonts w:cs="Times New Roman"/>
          <w:sz w:val="24"/>
          <w:szCs w:val="24"/>
        </w:rPr>
        <w:t>2.</w:t>
      </w:r>
    </w:p>
    <w:p w14:paraId="746F59FD" w14:textId="1BC4F769" w:rsidR="009E4C91" w:rsidRPr="004F24F9" w:rsidRDefault="009E4C91" w:rsidP="00E91C41">
      <w:pPr>
        <w:widowControl w:val="0"/>
        <w:shd w:val="clear" w:color="auto" w:fill="FFFFFF"/>
        <w:spacing w:line="340" w:lineRule="exact"/>
        <w:ind w:firstLine="397"/>
        <w:jc w:val="both"/>
        <w:rPr>
          <w:rFonts w:cs="Times New Roman"/>
          <w:sz w:val="24"/>
          <w:szCs w:val="24"/>
        </w:rPr>
      </w:pPr>
      <w:r w:rsidRPr="004F24F9">
        <w:rPr>
          <w:rFonts w:cs="Times New Roman"/>
          <w:sz w:val="24"/>
          <w:szCs w:val="24"/>
        </w:rPr>
        <w:t>Nguồn vốn ủy thác từ ngân sách huyện cũng tăng lên hằng năm với mức tăng trưởng bình quân từ 2019 đến 2023 là 56.318 triệu đồng. Năm 2020</w:t>
      </w:r>
      <w:r w:rsidR="00943665" w:rsidRPr="004F24F9">
        <w:rPr>
          <w:rFonts w:cs="Times New Roman"/>
          <w:sz w:val="24"/>
          <w:szCs w:val="24"/>
        </w:rPr>
        <w:t>,</w:t>
      </w:r>
      <w:r w:rsidRPr="004F24F9">
        <w:rPr>
          <w:rFonts w:cs="Times New Roman"/>
          <w:sz w:val="24"/>
          <w:szCs w:val="24"/>
        </w:rPr>
        <w:t xml:space="preserve"> nguồn vốn ủy thác từ ngân sách huyện là 591.201 triệu đồng, tăng </w:t>
      </w:r>
      <w:r w:rsidRPr="004F24F9">
        <w:rPr>
          <w:rFonts w:cs="Times New Roman"/>
          <w:bCs/>
          <w:sz w:val="24"/>
          <w:szCs w:val="24"/>
        </w:rPr>
        <w:t>148.417 triệu đồng so với năm 2019. Năm 2021</w:t>
      </w:r>
      <w:r w:rsidR="003E5BE1" w:rsidRPr="004F24F9">
        <w:rPr>
          <w:rFonts w:cs="Times New Roman"/>
          <w:bCs/>
          <w:sz w:val="24"/>
          <w:szCs w:val="24"/>
          <w:lang w:val="en-US"/>
        </w:rPr>
        <w:t>,</w:t>
      </w:r>
      <w:r w:rsidRPr="004F24F9">
        <w:rPr>
          <w:rFonts w:cs="Times New Roman"/>
          <w:bCs/>
          <w:sz w:val="24"/>
          <w:szCs w:val="24"/>
        </w:rPr>
        <w:t xml:space="preserve"> nguồn vốn ủy thác từ ngân sách huyện là </w:t>
      </w:r>
      <w:r w:rsidRPr="004F24F9">
        <w:rPr>
          <w:rFonts w:cs="Times New Roman"/>
          <w:bCs/>
          <w:sz w:val="24"/>
          <w:szCs w:val="24"/>
        </w:rPr>
        <w:lastRenderedPageBreak/>
        <w:t>757.346 triệu đồng, tăng 166.145 triệu đồng so với năm 2020. Năm 2022, số vốn ủy thác của huyện là 1.004.378 triệu đồng, tăng 247.032 triệu đồng so với năm 2021. Năm 2023, số vốn ủy thác của huyện là 1.238.907 triệu đồng, tăng 234.529 triệu đồng. Từ năm 2019 đến năm 2023, số vốn ủy thác của huyện tăng gấp 2,8 lần.</w:t>
      </w:r>
    </w:p>
    <w:p w14:paraId="6EDC3751" w14:textId="3BB7BFAC" w:rsidR="009E4C91" w:rsidRPr="004F24F9" w:rsidRDefault="009E4C91" w:rsidP="00E91C41">
      <w:pPr>
        <w:spacing w:line="340" w:lineRule="exact"/>
        <w:jc w:val="both"/>
        <w:outlineLvl w:val="0"/>
        <w:rPr>
          <w:rFonts w:cs="Times New Roman"/>
          <w:bCs/>
          <w:i/>
          <w:iCs/>
          <w:sz w:val="24"/>
          <w:szCs w:val="24"/>
        </w:rPr>
      </w:pPr>
      <w:bookmarkStart w:id="6" w:name="_Toc182080845"/>
      <w:bookmarkStart w:id="7" w:name="_Hlk132029856"/>
      <w:r w:rsidRPr="004F24F9">
        <w:rPr>
          <w:rFonts w:cs="Times New Roman"/>
          <w:bCs/>
          <w:i/>
          <w:iCs/>
          <w:sz w:val="24"/>
          <w:szCs w:val="24"/>
        </w:rPr>
        <w:t xml:space="preserve">2.2.2. Cơ cấu huy động nguồn vốn tại Chi nhánh </w:t>
      </w:r>
      <w:r w:rsidR="00E91C41" w:rsidRPr="004F24F9">
        <w:rPr>
          <w:rFonts w:cs="Times New Roman"/>
          <w:bCs/>
          <w:i/>
          <w:iCs/>
          <w:sz w:val="24"/>
          <w:szCs w:val="24"/>
          <w:lang w:val="en-US"/>
        </w:rPr>
        <w:t>Ngân hàng Chính sách xã hội</w:t>
      </w:r>
      <w:r w:rsidRPr="004F24F9">
        <w:rPr>
          <w:rFonts w:cs="Times New Roman"/>
          <w:bCs/>
          <w:i/>
          <w:iCs/>
          <w:sz w:val="24"/>
          <w:szCs w:val="24"/>
        </w:rPr>
        <w:t xml:space="preserve"> tỉnh Đồng Nai</w:t>
      </w:r>
      <w:bookmarkEnd w:id="6"/>
      <w:r w:rsidRPr="004F24F9">
        <w:rPr>
          <w:rFonts w:cs="Times New Roman"/>
          <w:bCs/>
          <w:i/>
          <w:iCs/>
          <w:sz w:val="24"/>
          <w:szCs w:val="24"/>
        </w:rPr>
        <w:t xml:space="preserve"> </w:t>
      </w:r>
    </w:p>
    <w:p w14:paraId="5FE88921" w14:textId="45574BF4" w:rsidR="00104131" w:rsidRPr="004F24F9" w:rsidRDefault="009E4C91" w:rsidP="00E91C41">
      <w:pPr>
        <w:spacing w:line="340" w:lineRule="exact"/>
        <w:ind w:firstLine="397"/>
        <w:jc w:val="both"/>
        <w:outlineLvl w:val="0"/>
        <w:rPr>
          <w:rFonts w:cs="Times New Roman"/>
          <w:bCs/>
          <w:iCs/>
          <w:sz w:val="24"/>
          <w:szCs w:val="24"/>
        </w:rPr>
        <w:sectPr w:rsidR="00104131" w:rsidRPr="004F24F9" w:rsidSect="00104131">
          <w:type w:val="continuous"/>
          <w:pgSz w:w="11057" w:h="15593" w:code="9"/>
          <w:pgMar w:top="1418" w:right="1418" w:bottom="1418" w:left="1418" w:header="964" w:footer="851" w:gutter="0"/>
          <w:cols w:num="2" w:space="454"/>
          <w:docGrid w:linePitch="381"/>
        </w:sectPr>
      </w:pPr>
      <w:r w:rsidRPr="004F24F9">
        <w:rPr>
          <w:rFonts w:cs="Times New Roman"/>
          <w:bCs/>
          <w:iCs/>
          <w:sz w:val="24"/>
          <w:szCs w:val="24"/>
        </w:rPr>
        <w:t xml:space="preserve">Cơ cấu huy động nguồn vốn tại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bCs/>
          <w:iCs/>
          <w:sz w:val="24"/>
          <w:szCs w:val="24"/>
        </w:rPr>
        <w:t xml:space="preserve"> Đồng Nai những năm qua có sự tăng trưởng không đều giữa các nguồn vốn. Tính đến năm 2023, nguồn vốn từ ngân sách do Trung ương cấp vẫn chiếm </w:t>
      </w:r>
      <w:r w:rsidR="005D28C8" w:rsidRPr="004F24F9">
        <w:rPr>
          <w:rFonts w:cs="Times New Roman"/>
          <w:bCs/>
          <w:iCs/>
          <w:sz w:val="24"/>
          <w:szCs w:val="24"/>
        </w:rPr>
        <w:t>tỉ</w:t>
      </w:r>
      <w:r w:rsidRPr="004F24F9">
        <w:rPr>
          <w:rFonts w:cs="Times New Roman"/>
          <w:bCs/>
          <w:iCs/>
          <w:sz w:val="24"/>
          <w:szCs w:val="24"/>
        </w:rPr>
        <w:t xml:space="preserve"> lệ cao nhất. Nguồn vốn huy đông từ các tổ chức, cá nhân vẫn thấp nhất (</w:t>
      </w:r>
      <w:r w:rsidR="00F25C5D" w:rsidRPr="004F24F9">
        <w:rPr>
          <w:rFonts w:cs="Times New Roman"/>
          <w:bCs/>
          <w:iCs/>
          <w:sz w:val="24"/>
          <w:szCs w:val="24"/>
        </w:rPr>
        <w:t>b</w:t>
      </w:r>
      <w:r w:rsidRPr="004F24F9">
        <w:rPr>
          <w:rFonts w:cs="Times New Roman"/>
          <w:bCs/>
          <w:iCs/>
          <w:sz w:val="24"/>
          <w:szCs w:val="24"/>
        </w:rPr>
        <w:t>ả</w:t>
      </w:r>
      <w:r w:rsidR="00F25C5D" w:rsidRPr="004F24F9">
        <w:rPr>
          <w:rFonts w:cs="Times New Roman"/>
          <w:bCs/>
          <w:iCs/>
          <w:sz w:val="24"/>
          <w:szCs w:val="24"/>
        </w:rPr>
        <w:t xml:space="preserve">ng </w:t>
      </w:r>
      <w:r w:rsidRPr="004F24F9">
        <w:rPr>
          <w:rFonts w:cs="Times New Roman"/>
          <w:bCs/>
          <w:iCs/>
          <w:sz w:val="24"/>
          <w:szCs w:val="24"/>
        </w:rPr>
        <w:t>3).</w:t>
      </w:r>
    </w:p>
    <w:p w14:paraId="7E84C298" w14:textId="77777777" w:rsidR="00E91C41" w:rsidRPr="004F24F9" w:rsidRDefault="00E91C41" w:rsidP="00291751">
      <w:pPr>
        <w:spacing w:line="300" w:lineRule="exact"/>
        <w:ind w:firstLine="397"/>
        <w:jc w:val="center"/>
        <w:outlineLvl w:val="0"/>
        <w:rPr>
          <w:rFonts w:cs="Times New Roman"/>
          <w:b/>
          <w:bCs/>
          <w:sz w:val="24"/>
          <w:szCs w:val="24"/>
        </w:rPr>
      </w:pPr>
      <w:bookmarkStart w:id="8" w:name="_Toc182080847"/>
      <w:bookmarkEnd w:id="7"/>
    </w:p>
    <w:p w14:paraId="56655EF5" w14:textId="05573B26" w:rsidR="009E4C91" w:rsidRPr="004F24F9" w:rsidRDefault="009E4C91" w:rsidP="00291751">
      <w:pPr>
        <w:spacing w:line="300" w:lineRule="exact"/>
        <w:ind w:firstLine="397"/>
        <w:jc w:val="center"/>
        <w:outlineLvl w:val="0"/>
        <w:rPr>
          <w:rFonts w:cs="Times New Roman"/>
          <w:b/>
          <w:bCs/>
          <w:sz w:val="24"/>
          <w:szCs w:val="24"/>
        </w:rPr>
      </w:pPr>
      <w:r w:rsidRPr="004F24F9">
        <w:rPr>
          <w:rFonts w:cs="Times New Roman"/>
          <w:b/>
          <w:bCs/>
          <w:sz w:val="24"/>
          <w:szCs w:val="24"/>
        </w:rPr>
        <w:t>Bả</w:t>
      </w:r>
      <w:r w:rsidR="00F25C5D" w:rsidRPr="004F24F9">
        <w:rPr>
          <w:rFonts w:cs="Times New Roman"/>
          <w:b/>
          <w:bCs/>
          <w:sz w:val="24"/>
          <w:szCs w:val="24"/>
        </w:rPr>
        <w:t xml:space="preserve">ng </w:t>
      </w:r>
      <w:r w:rsidRPr="004F24F9">
        <w:rPr>
          <w:rFonts w:cs="Times New Roman"/>
          <w:b/>
          <w:bCs/>
          <w:sz w:val="24"/>
          <w:szCs w:val="24"/>
        </w:rPr>
        <w:t>3</w:t>
      </w:r>
      <w:r w:rsidR="00104131" w:rsidRPr="004F24F9">
        <w:rPr>
          <w:rFonts w:cs="Times New Roman"/>
          <w:b/>
          <w:bCs/>
          <w:sz w:val="24"/>
          <w:szCs w:val="24"/>
        </w:rPr>
        <w:t>:</w:t>
      </w:r>
      <w:r w:rsidRPr="004F24F9">
        <w:rPr>
          <w:rFonts w:cs="Times New Roman"/>
          <w:b/>
          <w:bCs/>
          <w:sz w:val="24"/>
          <w:szCs w:val="24"/>
        </w:rPr>
        <w:t xml:space="preserve"> </w:t>
      </w:r>
      <w:r w:rsidRPr="004F24F9">
        <w:rPr>
          <w:rFonts w:cs="Times New Roman"/>
          <w:bCs/>
          <w:i/>
          <w:sz w:val="24"/>
          <w:szCs w:val="24"/>
        </w:rPr>
        <w:t>Cơ cấu nguồn vốn tại Chi nhánh NHCSXH tỉnh Đồng Nai 2019-2023</w:t>
      </w:r>
      <w:bookmarkEnd w:id="8"/>
    </w:p>
    <w:p w14:paraId="09F8D3D8" w14:textId="77777777" w:rsidR="009E4C91" w:rsidRPr="004F24F9" w:rsidRDefault="009E4C91" w:rsidP="00291751">
      <w:pPr>
        <w:widowControl w:val="0"/>
        <w:spacing w:line="300" w:lineRule="exact"/>
        <w:ind w:firstLine="397"/>
        <w:jc w:val="right"/>
        <w:rPr>
          <w:rFonts w:cs="Times New Roman"/>
          <w:i/>
          <w:iCs/>
          <w:sz w:val="24"/>
          <w:szCs w:val="24"/>
        </w:rPr>
      </w:pPr>
      <w:r w:rsidRPr="004F24F9">
        <w:rPr>
          <w:rFonts w:cs="Times New Roman"/>
          <w:i/>
          <w:iCs/>
          <w:sz w:val="24"/>
          <w:szCs w:val="24"/>
        </w:rPr>
        <w:t>Đơn vị tính: triệu đồng</w:t>
      </w:r>
    </w:p>
    <w:tbl>
      <w:tblPr>
        <w:tblW w:w="6126" w:type="pct"/>
        <w:jc w:val="center"/>
        <w:tblLayout w:type="fixed"/>
        <w:tblLook w:val="04A0" w:firstRow="1" w:lastRow="0" w:firstColumn="1" w:lastColumn="0" w:noHBand="0" w:noVBand="1"/>
      </w:tblPr>
      <w:tblGrid>
        <w:gridCol w:w="1292"/>
        <w:gridCol w:w="980"/>
        <w:gridCol w:w="859"/>
        <w:gridCol w:w="982"/>
        <w:gridCol w:w="708"/>
        <w:gridCol w:w="990"/>
        <w:gridCol w:w="849"/>
        <w:gridCol w:w="994"/>
        <w:gridCol w:w="710"/>
        <w:gridCol w:w="1068"/>
        <w:gridCol w:w="628"/>
      </w:tblGrid>
      <w:tr w:rsidR="004F24F9" w:rsidRPr="004F24F9" w14:paraId="68763E5D" w14:textId="77777777" w:rsidTr="00990050">
        <w:trPr>
          <w:trHeight w:val="588"/>
          <w:tblHeader/>
          <w:jc w:val="center"/>
        </w:trPr>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3BC18"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Chỉ tiêu</w:t>
            </w:r>
          </w:p>
        </w:tc>
        <w:tc>
          <w:tcPr>
            <w:tcW w:w="914" w:type="pct"/>
            <w:gridSpan w:val="2"/>
            <w:tcBorders>
              <w:top w:val="single" w:sz="4" w:space="0" w:color="auto"/>
              <w:left w:val="nil"/>
              <w:bottom w:val="single" w:sz="4" w:space="0" w:color="auto"/>
              <w:right w:val="single" w:sz="4" w:space="0" w:color="auto"/>
            </w:tcBorders>
            <w:vAlign w:val="center"/>
          </w:tcPr>
          <w:p w14:paraId="20B3A828" w14:textId="77777777" w:rsidR="009E4C91" w:rsidRPr="004F24F9" w:rsidRDefault="009E4C91" w:rsidP="00484843">
            <w:pPr>
              <w:widowControl w:val="0"/>
              <w:tabs>
                <w:tab w:val="left" w:pos="888"/>
              </w:tabs>
              <w:jc w:val="center"/>
              <w:rPr>
                <w:rFonts w:cs="Times New Roman"/>
                <w:b/>
                <w:bCs/>
                <w:sz w:val="16"/>
                <w:szCs w:val="16"/>
              </w:rPr>
            </w:pPr>
            <w:r w:rsidRPr="004F24F9">
              <w:rPr>
                <w:rFonts w:cs="Times New Roman"/>
                <w:b/>
                <w:bCs/>
                <w:sz w:val="16"/>
                <w:szCs w:val="16"/>
              </w:rPr>
              <w:t>Năm 2019</w:t>
            </w: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2746CC4B"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Năm 2020</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810D7"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Năm 2021</w:t>
            </w:r>
          </w:p>
        </w:tc>
        <w:tc>
          <w:tcPr>
            <w:tcW w:w="846" w:type="pct"/>
            <w:gridSpan w:val="2"/>
            <w:tcBorders>
              <w:top w:val="single" w:sz="4" w:space="0" w:color="auto"/>
              <w:left w:val="nil"/>
              <w:bottom w:val="single" w:sz="4" w:space="0" w:color="auto"/>
              <w:right w:val="single" w:sz="4" w:space="0" w:color="auto"/>
            </w:tcBorders>
            <w:shd w:val="clear" w:color="auto" w:fill="auto"/>
            <w:vAlign w:val="center"/>
            <w:hideMark/>
          </w:tcPr>
          <w:p w14:paraId="504AFFC4"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Năm 2022</w:t>
            </w:r>
          </w:p>
        </w:tc>
        <w:tc>
          <w:tcPr>
            <w:tcW w:w="845" w:type="pct"/>
            <w:gridSpan w:val="2"/>
            <w:tcBorders>
              <w:top w:val="single" w:sz="4" w:space="0" w:color="auto"/>
              <w:left w:val="nil"/>
              <w:bottom w:val="single" w:sz="4" w:space="0" w:color="auto"/>
              <w:right w:val="single" w:sz="4" w:space="0" w:color="auto"/>
            </w:tcBorders>
            <w:shd w:val="clear" w:color="auto" w:fill="auto"/>
            <w:vAlign w:val="center"/>
            <w:hideMark/>
          </w:tcPr>
          <w:p w14:paraId="6842DF1D"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Năm 20223</w:t>
            </w:r>
          </w:p>
        </w:tc>
      </w:tr>
      <w:tr w:rsidR="004F24F9" w:rsidRPr="004F24F9" w14:paraId="1F817E80" w14:textId="77777777" w:rsidTr="00990050">
        <w:trPr>
          <w:trHeight w:val="496"/>
          <w:tblHeader/>
          <w:jc w:val="center"/>
        </w:trPr>
        <w:tc>
          <w:tcPr>
            <w:tcW w:w="642" w:type="pct"/>
            <w:vMerge/>
            <w:tcBorders>
              <w:top w:val="single" w:sz="4" w:space="0" w:color="auto"/>
              <w:left w:val="single" w:sz="4" w:space="0" w:color="auto"/>
              <w:bottom w:val="single" w:sz="4" w:space="0" w:color="auto"/>
              <w:right w:val="single" w:sz="4" w:space="0" w:color="auto"/>
            </w:tcBorders>
            <w:vAlign w:val="center"/>
            <w:hideMark/>
          </w:tcPr>
          <w:p w14:paraId="1B436608" w14:textId="77777777" w:rsidR="009E4C91" w:rsidRPr="004F24F9" w:rsidRDefault="009E4C91" w:rsidP="00484843">
            <w:pPr>
              <w:widowControl w:val="0"/>
              <w:jc w:val="center"/>
              <w:rPr>
                <w:rFonts w:cs="Times New Roman"/>
                <w:b/>
                <w:bCs/>
                <w:sz w:val="16"/>
                <w:szCs w:val="16"/>
              </w:rPr>
            </w:pPr>
          </w:p>
        </w:tc>
        <w:tc>
          <w:tcPr>
            <w:tcW w:w="487" w:type="pct"/>
            <w:tcBorders>
              <w:top w:val="single" w:sz="4" w:space="0" w:color="auto"/>
              <w:left w:val="nil"/>
              <w:bottom w:val="single" w:sz="4" w:space="0" w:color="auto"/>
              <w:right w:val="single" w:sz="4" w:space="0" w:color="auto"/>
            </w:tcBorders>
            <w:vAlign w:val="center"/>
          </w:tcPr>
          <w:p w14:paraId="03ADF822"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Nguồn</w:t>
            </w:r>
          </w:p>
          <w:p w14:paraId="4414DECF"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vốn</w:t>
            </w:r>
          </w:p>
        </w:tc>
        <w:tc>
          <w:tcPr>
            <w:tcW w:w="427" w:type="pct"/>
            <w:tcBorders>
              <w:top w:val="single" w:sz="4" w:space="0" w:color="auto"/>
              <w:left w:val="single" w:sz="4" w:space="0" w:color="auto"/>
              <w:bottom w:val="single" w:sz="4" w:space="0" w:color="auto"/>
              <w:right w:val="single" w:sz="4" w:space="0" w:color="auto"/>
            </w:tcBorders>
            <w:vAlign w:val="center"/>
          </w:tcPr>
          <w:p w14:paraId="6FB4765A"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w:t>
            </w:r>
          </w:p>
        </w:tc>
        <w:tc>
          <w:tcPr>
            <w:tcW w:w="488" w:type="pct"/>
            <w:tcBorders>
              <w:top w:val="single" w:sz="4" w:space="0" w:color="auto"/>
              <w:left w:val="single" w:sz="4" w:space="0" w:color="auto"/>
              <w:bottom w:val="single" w:sz="4" w:space="0" w:color="auto"/>
              <w:right w:val="single" w:sz="4" w:space="0" w:color="auto"/>
            </w:tcBorders>
            <w:vAlign w:val="center"/>
          </w:tcPr>
          <w:p w14:paraId="792D3BA6"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Nguồn</w:t>
            </w:r>
          </w:p>
          <w:p w14:paraId="5756514E"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vốn</w:t>
            </w:r>
          </w:p>
        </w:tc>
        <w:tc>
          <w:tcPr>
            <w:tcW w:w="352" w:type="pct"/>
            <w:tcBorders>
              <w:top w:val="single" w:sz="4" w:space="0" w:color="auto"/>
              <w:left w:val="single" w:sz="4" w:space="0" w:color="auto"/>
              <w:bottom w:val="single" w:sz="4" w:space="0" w:color="auto"/>
              <w:right w:val="single" w:sz="4" w:space="0" w:color="auto"/>
            </w:tcBorders>
            <w:vAlign w:val="center"/>
          </w:tcPr>
          <w:p w14:paraId="2579FCDF"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53E6C131"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Nguồn</w:t>
            </w:r>
          </w:p>
          <w:p w14:paraId="568E47E5"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vốn</w:t>
            </w:r>
          </w:p>
        </w:tc>
        <w:tc>
          <w:tcPr>
            <w:tcW w:w="422" w:type="pct"/>
            <w:tcBorders>
              <w:top w:val="nil"/>
              <w:left w:val="nil"/>
              <w:bottom w:val="single" w:sz="4" w:space="0" w:color="auto"/>
              <w:right w:val="single" w:sz="4" w:space="0" w:color="auto"/>
            </w:tcBorders>
            <w:shd w:val="clear" w:color="auto" w:fill="auto"/>
            <w:vAlign w:val="center"/>
            <w:hideMark/>
          </w:tcPr>
          <w:p w14:paraId="2B6906E4"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w:t>
            </w:r>
          </w:p>
        </w:tc>
        <w:tc>
          <w:tcPr>
            <w:tcW w:w="494" w:type="pct"/>
            <w:tcBorders>
              <w:top w:val="nil"/>
              <w:left w:val="nil"/>
              <w:bottom w:val="single" w:sz="4" w:space="0" w:color="auto"/>
              <w:right w:val="single" w:sz="4" w:space="0" w:color="auto"/>
            </w:tcBorders>
            <w:shd w:val="clear" w:color="auto" w:fill="auto"/>
            <w:vAlign w:val="center"/>
            <w:hideMark/>
          </w:tcPr>
          <w:p w14:paraId="773A257A"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Nguồn</w:t>
            </w:r>
          </w:p>
          <w:p w14:paraId="0CBCB28F"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vốn</w:t>
            </w:r>
          </w:p>
        </w:tc>
        <w:tc>
          <w:tcPr>
            <w:tcW w:w="353" w:type="pct"/>
            <w:tcBorders>
              <w:top w:val="nil"/>
              <w:left w:val="nil"/>
              <w:bottom w:val="single" w:sz="4" w:space="0" w:color="auto"/>
              <w:right w:val="single" w:sz="4" w:space="0" w:color="auto"/>
            </w:tcBorders>
            <w:shd w:val="clear" w:color="auto" w:fill="auto"/>
            <w:vAlign w:val="center"/>
            <w:hideMark/>
          </w:tcPr>
          <w:p w14:paraId="3E1AC787"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w:t>
            </w:r>
          </w:p>
        </w:tc>
        <w:tc>
          <w:tcPr>
            <w:tcW w:w="531" w:type="pct"/>
            <w:tcBorders>
              <w:top w:val="nil"/>
              <w:left w:val="nil"/>
              <w:bottom w:val="single" w:sz="4" w:space="0" w:color="auto"/>
              <w:right w:val="single" w:sz="4" w:space="0" w:color="auto"/>
            </w:tcBorders>
            <w:shd w:val="clear" w:color="auto" w:fill="auto"/>
            <w:vAlign w:val="center"/>
            <w:hideMark/>
          </w:tcPr>
          <w:p w14:paraId="24656CFF"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Nguồn</w:t>
            </w:r>
          </w:p>
          <w:p w14:paraId="62133C24"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vốn</w:t>
            </w:r>
          </w:p>
        </w:tc>
        <w:tc>
          <w:tcPr>
            <w:tcW w:w="314" w:type="pct"/>
            <w:tcBorders>
              <w:top w:val="nil"/>
              <w:left w:val="nil"/>
              <w:bottom w:val="single" w:sz="4" w:space="0" w:color="auto"/>
              <w:right w:val="single" w:sz="4" w:space="0" w:color="auto"/>
            </w:tcBorders>
            <w:shd w:val="clear" w:color="auto" w:fill="auto"/>
            <w:vAlign w:val="center"/>
            <w:hideMark/>
          </w:tcPr>
          <w:p w14:paraId="16F71230" w14:textId="77777777" w:rsidR="009E4C91" w:rsidRPr="004F24F9" w:rsidRDefault="009E4C91" w:rsidP="00484843">
            <w:pPr>
              <w:widowControl w:val="0"/>
              <w:jc w:val="center"/>
              <w:rPr>
                <w:rFonts w:cs="Times New Roman"/>
                <w:b/>
                <w:bCs/>
                <w:sz w:val="16"/>
                <w:szCs w:val="16"/>
              </w:rPr>
            </w:pPr>
            <w:r w:rsidRPr="004F24F9">
              <w:rPr>
                <w:rFonts w:cs="Times New Roman"/>
                <w:b/>
                <w:bCs/>
                <w:sz w:val="16"/>
                <w:szCs w:val="16"/>
              </w:rPr>
              <w:t>%</w:t>
            </w:r>
          </w:p>
        </w:tc>
      </w:tr>
      <w:tr w:rsidR="004F24F9" w:rsidRPr="004F24F9" w14:paraId="20D5660F" w14:textId="77777777" w:rsidTr="00990050">
        <w:trPr>
          <w:trHeight w:val="379"/>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14:paraId="45DEBDC8" w14:textId="71687DC5" w:rsidR="009E4C91" w:rsidRPr="004F24F9" w:rsidRDefault="009E4C91" w:rsidP="008F191D">
            <w:pPr>
              <w:widowControl w:val="0"/>
              <w:rPr>
                <w:rFonts w:cs="Times New Roman"/>
                <w:sz w:val="16"/>
                <w:szCs w:val="16"/>
              </w:rPr>
            </w:pPr>
            <w:r w:rsidRPr="004F24F9">
              <w:rPr>
                <w:rFonts w:cs="Times New Roman"/>
                <w:sz w:val="16"/>
                <w:szCs w:val="16"/>
              </w:rPr>
              <w:t>Nguồn vốn T</w:t>
            </w:r>
            <w:r w:rsidR="008F191D" w:rsidRPr="004F24F9">
              <w:rPr>
                <w:rFonts w:cs="Times New Roman"/>
                <w:sz w:val="16"/>
                <w:szCs w:val="16"/>
                <w:lang w:val="en-US"/>
              </w:rPr>
              <w:t>rung ương</w:t>
            </w:r>
            <w:r w:rsidRPr="004F24F9">
              <w:rPr>
                <w:rFonts w:cs="Times New Roman"/>
                <w:sz w:val="16"/>
                <w:szCs w:val="16"/>
              </w:rPr>
              <w:t xml:space="preserve"> chuyển về</w:t>
            </w:r>
          </w:p>
        </w:tc>
        <w:tc>
          <w:tcPr>
            <w:tcW w:w="487" w:type="pct"/>
            <w:tcBorders>
              <w:top w:val="single" w:sz="4" w:space="0" w:color="auto"/>
              <w:left w:val="nil"/>
              <w:bottom w:val="single" w:sz="4" w:space="0" w:color="auto"/>
              <w:right w:val="single" w:sz="4" w:space="0" w:color="auto"/>
            </w:tcBorders>
            <w:vAlign w:val="center"/>
          </w:tcPr>
          <w:p w14:paraId="0D236DDD" w14:textId="77777777" w:rsidR="009E4C91" w:rsidRPr="004F24F9" w:rsidRDefault="009E4C91" w:rsidP="00484843">
            <w:pPr>
              <w:widowControl w:val="0"/>
              <w:jc w:val="center"/>
              <w:rPr>
                <w:rFonts w:cs="Times New Roman"/>
                <w:sz w:val="16"/>
                <w:szCs w:val="16"/>
              </w:rPr>
            </w:pPr>
            <w:r w:rsidRPr="004F24F9">
              <w:rPr>
                <w:rFonts w:cs="Times New Roman"/>
                <w:sz w:val="16"/>
                <w:szCs w:val="16"/>
              </w:rPr>
              <w:t>1.708.653</w:t>
            </w:r>
          </w:p>
        </w:tc>
        <w:tc>
          <w:tcPr>
            <w:tcW w:w="427" w:type="pct"/>
            <w:tcBorders>
              <w:top w:val="single" w:sz="4" w:space="0" w:color="auto"/>
              <w:left w:val="single" w:sz="4" w:space="0" w:color="auto"/>
              <w:bottom w:val="single" w:sz="4" w:space="0" w:color="auto"/>
              <w:right w:val="single" w:sz="4" w:space="0" w:color="auto"/>
            </w:tcBorders>
            <w:vAlign w:val="center"/>
          </w:tcPr>
          <w:p w14:paraId="233A6059" w14:textId="77777777" w:rsidR="009E4C91" w:rsidRPr="004F24F9" w:rsidRDefault="009E4C91" w:rsidP="00484843">
            <w:pPr>
              <w:widowControl w:val="0"/>
              <w:jc w:val="center"/>
              <w:rPr>
                <w:rFonts w:cs="Times New Roman"/>
                <w:sz w:val="16"/>
                <w:szCs w:val="16"/>
              </w:rPr>
            </w:pPr>
            <w:r w:rsidRPr="004F24F9">
              <w:rPr>
                <w:rFonts w:cs="Times New Roman"/>
                <w:sz w:val="16"/>
                <w:szCs w:val="16"/>
              </w:rPr>
              <w:t>67,43</w:t>
            </w:r>
          </w:p>
        </w:tc>
        <w:tc>
          <w:tcPr>
            <w:tcW w:w="488" w:type="pct"/>
            <w:tcBorders>
              <w:top w:val="single" w:sz="4" w:space="0" w:color="auto"/>
              <w:left w:val="single" w:sz="4" w:space="0" w:color="auto"/>
              <w:bottom w:val="single" w:sz="4" w:space="0" w:color="auto"/>
              <w:right w:val="single" w:sz="4" w:space="0" w:color="auto"/>
            </w:tcBorders>
            <w:vAlign w:val="center"/>
          </w:tcPr>
          <w:p w14:paraId="118EFE7E" w14:textId="77777777" w:rsidR="009E4C91" w:rsidRPr="004F24F9" w:rsidRDefault="009E4C91" w:rsidP="00484843">
            <w:pPr>
              <w:widowControl w:val="0"/>
              <w:jc w:val="center"/>
              <w:rPr>
                <w:rFonts w:cs="Times New Roman"/>
                <w:sz w:val="16"/>
                <w:szCs w:val="16"/>
              </w:rPr>
            </w:pPr>
            <w:r w:rsidRPr="004F24F9">
              <w:rPr>
                <w:rFonts w:cs="Times New Roman"/>
                <w:sz w:val="16"/>
                <w:szCs w:val="16"/>
              </w:rPr>
              <w:t>1.767.535</w:t>
            </w:r>
          </w:p>
        </w:tc>
        <w:tc>
          <w:tcPr>
            <w:tcW w:w="352" w:type="pct"/>
            <w:tcBorders>
              <w:top w:val="single" w:sz="4" w:space="0" w:color="auto"/>
              <w:left w:val="single" w:sz="4" w:space="0" w:color="auto"/>
              <w:bottom w:val="single" w:sz="4" w:space="0" w:color="auto"/>
              <w:right w:val="single" w:sz="4" w:space="0" w:color="auto"/>
            </w:tcBorders>
            <w:vAlign w:val="center"/>
          </w:tcPr>
          <w:p w14:paraId="35C5D82E" w14:textId="77777777" w:rsidR="009E4C91" w:rsidRPr="004F24F9" w:rsidRDefault="009E4C91" w:rsidP="00484843">
            <w:pPr>
              <w:widowControl w:val="0"/>
              <w:jc w:val="center"/>
              <w:rPr>
                <w:rFonts w:cs="Times New Roman"/>
                <w:sz w:val="16"/>
                <w:szCs w:val="16"/>
              </w:rPr>
            </w:pPr>
            <w:r w:rsidRPr="004F24F9">
              <w:rPr>
                <w:rFonts w:cs="Times New Roman"/>
                <w:sz w:val="16"/>
                <w:szCs w:val="16"/>
              </w:rPr>
              <w:t>61,87</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02031D3A" w14:textId="77777777" w:rsidR="009E4C91" w:rsidRPr="004F24F9" w:rsidRDefault="009E4C91" w:rsidP="00484843">
            <w:pPr>
              <w:widowControl w:val="0"/>
              <w:jc w:val="center"/>
              <w:rPr>
                <w:rFonts w:cs="Times New Roman"/>
                <w:sz w:val="16"/>
                <w:szCs w:val="16"/>
              </w:rPr>
            </w:pPr>
            <w:r w:rsidRPr="004F24F9">
              <w:rPr>
                <w:rFonts w:cs="Times New Roman"/>
                <w:sz w:val="16"/>
                <w:szCs w:val="16"/>
              </w:rPr>
              <w:t>2.194.022</w:t>
            </w:r>
          </w:p>
        </w:tc>
        <w:tc>
          <w:tcPr>
            <w:tcW w:w="422" w:type="pct"/>
            <w:tcBorders>
              <w:top w:val="nil"/>
              <w:left w:val="nil"/>
              <w:bottom w:val="single" w:sz="4" w:space="0" w:color="auto"/>
              <w:right w:val="single" w:sz="4" w:space="0" w:color="auto"/>
            </w:tcBorders>
            <w:shd w:val="clear" w:color="auto" w:fill="auto"/>
            <w:vAlign w:val="center"/>
            <w:hideMark/>
          </w:tcPr>
          <w:p w14:paraId="4C84FC9B" w14:textId="77777777" w:rsidR="009E4C91" w:rsidRPr="004F24F9" w:rsidRDefault="009E4C91" w:rsidP="00484843">
            <w:pPr>
              <w:widowControl w:val="0"/>
              <w:jc w:val="center"/>
              <w:rPr>
                <w:rFonts w:cs="Times New Roman"/>
                <w:sz w:val="16"/>
                <w:szCs w:val="16"/>
              </w:rPr>
            </w:pPr>
            <w:r w:rsidRPr="004F24F9">
              <w:rPr>
                <w:rFonts w:cs="Times New Roman"/>
                <w:sz w:val="16"/>
                <w:szCs w:val="16"/>
              </w:rPr>
              <w:t>61,23</w:t>
            </w:r>
          </w:p>
        </w:tc>
        <w:tc>
          <w:tcPr>
            <w:tcW w:w="494" w:type="pct"/>
            <w:tcBorders>
              <w:top w:val="nil"/>
              <w:left w:val="nil"/>
              <w:bottom w:val="single" w:sz="4" w:space="0" w:color="auto"/>
              <w:right w:val="single" w:sz="4" w:space="0" w:color="auto"/>
            </w:tcBorders>
            <w:shd w:val="clear" w:color="auto" w:fill="auto"/>
            <w:vAlign w:val="center"/>
            <w:hideMark/>
          </w:tcPr>
          <w:p w14:paraId="24DBAB8B" w14:textId="77777777" w:rsidR="009E4C91" w:rsidRPr="004F24F9" w:rsidRDefault="009E4C91" w:rsidP="00484843">
            <w:pPr>
              <w:widowControl w:val="0"/>
              <w:jc w:val="center"/>
              <w:rPr>
                <w:rFonts w:cs="Times New Roman"/>
                <w:sz w:val="16"/>
                <w:szCs w:val="16"/>
              </w:rPr>
            </w:pPr>
            <w:r w:rsidRPr="004F24F9">
              <w:rPr>
                <w:rFonts w:cs="Times New Roman"/>
                <w:sz w:val="16"/>
                <w:szCs w:val="16"/>
              </w:rPr>
              <w:t>2.394.947</w:t>
            </w:r>
          </w:p>
        </w:tc>
        <w:tc>
          <w:tcPr>
            <w:tcW w:w="353" w:type="pct"/>
            <w:tcBorders>
              <w:top w:val="nil"/>
              <w:left w:val="nil"/>
              <w:bottom w:val="single" w:sz="4" w:space="0" w:color="auto"/>
              <w:right w:val="single" w:sz="4" w:space="0" w:color="auto"/>
            </w:tcBorders>
            <w:shd w:val="clear" w:color="auto" w:fill="auto"/>
            <w:vAlign w:val="center"/>
            <w:hideMark/>
          </w:tcPr>
          <w:p w14:paraId="1A50A6D3" w14:textId="77777777" w:rsidR="009E4C91" w:rsidRPr="004F24F9" w:rsidRDefault="009E4C91" w:rsidP="00484843">
            <w:pPr>
              <w:widowControl w:val="0"/>
              <w:jc w:val="center"/>
              <w:rPr>
                <w:rFonts w:cs="Times New Roman"/>
                <w:sz w:val="16"/>
                <w:szCs w:val="16"/>
              </w:rPr>
            </w:pPr>
            <w:r w:rsidRPr="004F24F9">
              <w:rPr>
                <w:rFonts w:cs="Times New Roman"/>
                <w:sz w:val="16"/>
                <w:szCs w:val="16"/>
              </w:rPr>
              <w:t>59,46</w:t>
            </w:r>
          </w:p>
        </w:tc>
        <w:tc>
          <w:tcPr>
            <w:tcW w:w="531" w:type="pct"/>
            <w:tcBorders>
              <w:top w:val="nil"/>
              <w:left w:val="nil"/>
              <w:bottom w:val="single" w:sz="4" w:space="0" w:color="auto"/>
              <w:right w:val="single" w:sz="4" w:space="0" w:color="auto"/>
            </w:tcBorders>
            <w:shd w:val="clear" w:color="auto" w:fill="auto"/>
            <w:vAlign w:val="center"/>
            <w:hideMark/>
          </w:tcPr>
          <w:p w14:paraId="231CB064" w14:textId="77777777" w:rsidR="009E4C91" w:rsidRPr="004F24F9" w:rsidRDefault="009E4C91" w:rsidP="00484843">
            <w:pPr>
              <w:widowControl w:val="0"/>
              <w:jc w:val="center"/>
              <w:rPr>
                <w:rFonts w:cs="Times New Roman"/>
                <w:sz w:val="16"/>
                <w:szCs w:val="16"/>
              </w:rPr>
            </w:pPr>
            <w:r w:rsidRPr="004F24F9">
              <w:rPr>
                <w:rFonts w:cs="Times New Roman"/>
                <w:sz w:val="16"/>
                <w:szCs w:val="16"/>
              </w:rPr>
              <w:t>3.036.937</w:t>
            </w:r>
          </w:p>
        </w:tc>
        <w:tc>
          <w:tcPr>
            <w:tcW w:w="314" w:type="pct"/>
            <w:tcBorders>
              <w:top w:val="nil"/>
              <w:left w:val="nil"/>
              <w:bottom w:val="single" w:sz="4" w:space="0" w:color="auto"/>
              <w:right w:val="single" w:sz="4" w:space="0" w:color="auto"/>
            </w:tcBorders>
            <w:shd w:val="clear" w:color="auto" w:fill="auto"/>
            <w:vAlign w:val="center"/>
            <w:hideMark/>
          </w:tcPr>
          <w:p w14:paraId="1EA7A799" w14:textId="77777777" w:rsidR="009E4C91" w:rsidRPr="004F24F9" w:rsidRDefault="009E4C91" w:rsidP="00484843">
            <w:pPr>
              <w:widowControl w:val="0"/>
              <w:jc w:val="center"/>
              <w:rPr>
                <w:rFonts w:cs="Times New Roman"/>
                <w:sz w:val="16"/>
                <w:szCs w:val="16"/>
              </w:rPr>
            </w:pPr>
            <w:r w:rsidRPr="004F24F9">
              <w:rPr>
                <w:rFonts w:cs="Times New Roman"/>
                <w:sz w:val="16"/>
                <w:szCs w:val="16"/>
              </w:rPr>
              <w:t>60,90</w:t>
            </w:r>
          </w:p>
        </w:tc>
      </w:tr>
      <w:tr w:rsidR="004F24F9" w:rsidRPr="004F24F9" w14:paraId="3F8C3470" w14:textId="77777777" w:rsidTr="00990050">
        <w:trPr>
          <w:trHeight w:val="576"/>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14:paraId="35B9203F" w14:textId="037F15B7" w:rsidR="009E4C91" w:rsidRPr="004F24F9" w:rsidRDefault="009E4C91" w:rsidP="00484843">
            <w:pPr>
              <w:widowControl w:val="0"/>
              <w:rPr>
                <w:rFonts w:cs="Times New Roman"/>
                <w:spacing w:val="-6"/>
                <w:sz w:val="16"/>
                <w:szCs w:val="16"/>
              </w:rPr>
            </w:pPr>
            <w:r w:rsidRPr="004F24F9">
              <w:rPr>
                <w:rFonts w:cs="Times New Roman"/>
                <w:spacing w:val="-6"/>
                <w:sz w:val="16"/>
                <w:szCs w:val="16"/>
              </w:rPr>
              <w:t>Nguồn vốn huy động đượ</w:t>
            </w:r>
            <w:r w:rsidR="008F191D" w:rsidRPr="004F24F9">
              <w:rPr>
                <w:rFonts w:cs="Times New Roman"/>
                <w:spacing w:val="-6"/>
                <w:sz w:val="16"/>
                <w:szCs w:val="16"/>
              </w:rPr>
              <w:t xml:space="preserve">c Trung ương </w:t>
            </w:r>
            <w:r w:rsidRPr="004F24F9">
              <w:rPr>
                <w:rFonts w:cs="Times New Roman"/>
                <w:spacing w:val="-6"/>
                <w:sz w:val="16"/>
                <w:szCs w:val="16"/>
              </w:rPr>
              <w:t>cấp bù lãi suất, trong đó:</w:t>
            </w:r>
          </w:p>
        </w:tc>
        <w:tc>
          <w:tcPr>
            <w:tcW w:w="487" w:type="pct"/>
            <w:tcBorders>
              <w:top w:val="single" w:sz="4" w:space="0" w:color="auto"/>
              <w:left w:val="nil"/>
              <w:bottom w:val="single" w:sz="4" w:space="0" w:color="auto"/>
              <w:right w:val="single" w:sz="4" w:space="0" w:color="auto"/>
            </w:tcBorders>
            <w:vAlign w:val="center"/>
          </w:tcPr>
          <w:p w14:paraId="1A16DFB7" w14:textId="77777777" w:rsidR="009E4C91" w:rsidRPr="004F24F9" w:rsidRDefault="009E4C91" w:rsidP="00484843">
            <w:pPr>
              <w:widowControl w:val="0"/>
              <w:jc w:val="center"/>
              <w:rPr>
                <w:rFonts w:cs="Times New Roman"/>
                <w:sz w:val="16"/>
                <w:szCs w:val="16"/>
              </w:rPr>
            </w:pPr>
            <w:r w:rsidRPr="004F24F9">
              <w:rPr>
                <w:rFonts w:cs="Times New Roman"/>
                <w:sz w:val="16"/>
                <w:szCs w:val="16"/>
              </w:rPr>
              <w:t>382.603</w:t>
            </w:r>
          </w:p>
        </w:tc>
        <w:tc>
          <w:tcPr>
            <w:tcW w:w="427" w:type="pct"/>
            <w:tcBorders>
              <w:top w:val="single" w:sz="4" w:space="0" w:color="auto"/>
              <w:left w:val="single" w:sz="4" w:space="0" w:color="auto"/>
              <w:bottom w:val="single" w:sz="4" w:space="0" w:color="auto"/>
              <w:right w:val="single" w:sz="4" w:space="0" w:color="auto"/>
            </w:tcBorders>
            <w:vAlign w:val="center"/>
          </w:tcPr>
          <w:p w14:paraId="7A912640" w14:textId="77777777" w:rsidR="009E4C91" w:rsidRPr="004F24F9" w:rsidRDefault="009E4C91" w:rsidP="00484843">
            <w:pPr>
              <w:widowControl w:val="0"/>
              <w:jc w:val="center"/>
              <w:rPr>
                <w:rFonts w:cs="Times New Roman"/>
                <w:sz w:val="16"/>
                <w:szCs w:val="16"/>
              </w:rPr>
            </w:pPr>
            <w:r w:rsidRPr="004F24F9">
              <w:rPr>
                <w:rFonts w:cs="Times New Roman"/>
                <w:sz w:val="16"/>
                <w:szCs w:val="16"/>
              </w:rPr>
              <w:t>15,10</w:t>
            </w:r>
          </w:p>
        </w:tc>
        <w:tc>
          <w:tcPr>
            <w:tcW w:w="488" w:type="pct"/>
            <w:tcBorders>
              <w:top w:val="single" w:sz="4" w:space="0" w:color="auto"/>
              <w:left w:val="single" w:sz="4" w:space="0" w:color="auto"/>
              <w:bottom w:val="single" w:sz="4" w:space="0" w:color="auto"/>
              <w:right w:val="single" w:sz="4" w:space="0" w:color="auto"/>
            </w:tcBorders>
            <w:vAlign w:val="center"/>
          </w:tcPr>
          <w:p w14:paraId="2D755CFD" w14:textId="77777777" w:rsidR="009E4C91" w:rsidRPr="004F24F9" w:rsidRDefault="009E4C91" w:rsidP="00484843">
            <w:pPr>
              <w:widowControl w:val="0"/>
              <w:jc w:val="center"/>
              <w:rPr>
                <w:rFonts w:cs="Times New Roman"/>
                <w:sz w:val="16"/>
                <w:szCs w:val="16"/>
              </w:rPr>
            </w:pPr>
            <w:r w:rsidRPr="004F24F9">
              <w:rPr>
                <w:rFonts w:cs="Times New Roman"/>
                <w:sz w:val="16"/>
                <w:szCs w:val="16"/>
              </w:rPr>
              <w:t>498.060</w:t>
            </w:r>
          </w:p>
        </w:tc>
        <w:tc>
          <w:tcPr>
            <w:tcW w:w="352" w:type="pct"/>
            <w:tcBorders>
              <w:top w:val="single" w:sz="4" w:space="0" w:color="auto"/>
              <w:left w:val="single" w:sz="4" w:space="0" w:color="auto"/>
              <w:bottom w:val="single" w:sz="4" w:space="0" w:color="auto"/>
              <w:right w:val="single" w:sz="4" w:space="0" w:color="auto"/>
            </w:tcBorders>
            <w:vAlign w:val="center"/>
          </w:tcPr>
          <w:p w14:paraId="0A7D1394" w14:textId="77777777" w:rsidR="009E4C91" w:rsidRPr="004F24F9" w:rsidRDefault="009E4C91" w:rsidP="00484843">
            <w:pPr>
              <w:widowControl w:val="0"/>
              <w:jc w:val="center"/>
              <w:rPr>
                <w:rFonts w:cs="Times New Roman"/>
                <w:sz w:val="16"/>
                <w:szCs w:val="16"/>
              </w:rPr>
            </w:pPr>
            <w:r w:rsidRPr="004F24F9">
              <w:rPr>
                <w:rFonts w:cs="Times New Roman"/>
                <w:sz w:val="16"/>
                <w:szCs w:val="16"/>
              </w:rPr>
              <w:t>17,43</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7B64DB0C" w14:textId="77777777" w:rsidR="009E4C91" w:rsidRPr="004F24F9" w:rsidRDefault="009E4C91" w:rsidP="00484843">
            <w:pPr>
              <w:widowControl w:val="0"/>
              <w:jc w:val="center"/>
              <w:rPr>
                <w:rFonts w:cs="Times New Roman"/>
                <w:sz w:val="16"/>
                <w:szCs w:val="16"/>
              </w:rPr>
            </w:pPr>
            <w:r w:rsidRPr="004F24F9">
              <w:rPr>
                <w:rFonts w:cs="Times New Roman"/>
                <w:sz w:val="16"/>
                <w:szCs w:val="16"/>
              </w:rPr>
              <w:t>631.934</w:t>
            </w:r>
          </w:p>
        </w:tc>
        <w:tc>
          <w:tcPr>
            <w:tcW w:w="422" w:type="pct"/>
            <w:tcBorders>
              <w:top w:val="nil"/>
              <w:left w:val="nil"/>
              <w:bottom w:val="single" w:sz="4" w:space="0" w:color="auto"/>
              <w:right w:val="single" w:sz="4" w:space="0" w:color="auto"/>
            </w:tcBorders>
            <w:shd w:val="clear" w:color="auto" w:fill="auto"/>
            <w:vAlign w:val="center"/>
            <w:hideMark/>
          </w:tcPr>
          <w:p w14:paraId="673443BC" w14:textId="77777777" w:rsidR="009E4C91" w:rsidRPr="004F24F9" w:rsidRDefault="009E4C91" w:rsidP="00484843">
            <w:pPr>
              <w:widowControl w:val="0"/>
              <w:jc w:val="center"/>
              <w:rPr>
                <w:rFonts w:cs="Times New Roman"/>
                <w:sz w:val="16"/>
                <w:szCs w:val="16"/>
              </w:rPr>
            </w:pPr>
            <w:r w:rsidRPr="004F24F9">
              <w:rPr>
                <w:rFonts w:cs="Times New Roman"/>
                <w:sz w:val="16"/>
                <w:szCs w:val="16"/>
              </w:rPr>
              <w:t>17,64</w:t>
            </w:r>
          </w:p>
        </w:tc>
        <w:tc>
          <w:tcPr>
            <w:tcW w:w="494" w:type="pct"/>
            <w:tcBorders>
              <w:top w:val="nil"/>
              <w:left w:val="nil"/>
              <w:bottom w:val="single" w:sz="4" w:space="0" w:color="auto"/>
              <w:right w:val="single" w:sz="4" w:space="0" w:color="auto"/>
            </w:tcBorders>
            <w:shd w:val="clear" w:color="auto" w:fill="auto"/>
            <w:vAlign w:val="center"/>
            <w:hideMark/>
          </w:tcPr>
          <w:p w14:paraId="5B175E2F" w14:textId="77777777" w:rsidR="009E4C91" w:rsidRPr="004F24F9" w:rsidRDefault="009E4C91" w:rsidP="00484843">
            <w:pPr>
              <w:widowControl w:val="0"/>
              <w:jc w:val="center"/>
              <w:rPr>
                <w:rFonts w:cs="Times New Roman"/>
                <w:sz w:val="16"/>
                <w:szCs w:val="16"/>
              </w:rPr>
            </w:pPr>
            <w:r w:rsidRPr="004F24F9">
              <w:rPr>
                <w:rFonts w:cs="Times New Roman"/>
                <w:sz w:val="16"/>
                <w:szCs w:val="16"/>
              </w:rPr>
              <w:t>628.193</w:t>
            </w:r>
          </w:p>
        </w:tc>
        <w:tc>
          <w:tcPr>
            <w:tcW w:w="353" w:type="pct"/>
            <w:tcBorders>
              <w:top w:val="nil"/>
              <w:left w:val="nil"/>
              <w:bottom w:val="single" w:sz="4" w:space="0" w:color="auto"/>
              <w:right w:val="single" w:sz="4" w:space="0" w:color="auto"/>
            </w:tcBorders>
            <w:shd w:val="clear" w:color="auto" w:fill="auto"/>
            <w:vAlign w:val="center"/>
            <w:hideMark/>
          </w:tcPr>
          <w:p w14:paraId="2A851794" w14:textId="77777777" w:rsidR="009E4C91" w:rsidRPr="004F24F9" w:rsidRDefault="009E4C91" w:rsidP="00484843">
            <w:pPr>
              <w:widowControl w:val="0"/>
              <w:jc w:val="center"/>
              <w:rPr>
                <w:rFonts w:cs="Times New Roman"/>
                <w:sz w:val="16"/>
                <w:szCs w:val="16"/>
              </w:rPr>
            </w:pPr>
            <w:r w:rsidRPr="004F24F9">
              <w:rPr>
                <w:rFonts w:cs="Times New Roman"/>
                <w:sz w:val="16"/>
                <w:szCs w:val="16"/>
              </w:rPr>
              <w:t>15,60</w:t>
            </w:r>
          </w:p>
        </w:tc>
        <w:tc>
          <w:tcPr>
            <w:tcW w:w="531" w:type="pct"/>
            <w:tcBorders>
              <w:top w:val="nil"/>
              <w:left w:val="nil"/>
              <w:bottom w:val="single" w:sz="4" w:space="0" w:color="auto"/>
              <w:right w:val="single" w:sz="4" w:space="0" w:color="auto"/>
            </w:tcBorders>
            <w:shd w:val="clear" w:color="auto" w:fill="auto"/>
            <w:vAlign w:val="center"/>
            <w:hideMark/>
          </w:tcPr>
          <w:p w14:paraId="4EE64ED3" w14:textId="77777777" w:rsidR="009E4C91" w:rsidRPr="004F24F9" w:rsidRDefault="009E4C91" w:rsidP="00484843">
            <w:pPr>
              <w:widowControl w:val="0"/>
              <w:jc w:val="center"/>
              <w:rPr>
                <w:rFonts w:cs="Times New Roman"/>
                <w:sz w:val="16"/>
                <w:szCs w:val="16"/>
              </w:rPr>
            </w:pPr>
            <w:r w:rsidRPr="004F24F9">
              <w:rPr>
                <w:rFonts w:cs="Times New Roman"/>
                <w:sz w:val="16"/>
                <w:szCs w:val="16"/>
              </w:rPr>
              <w:t>710.877</w:t>
            </w:r>
          </w:p>
        </w:tc>
        <w:tc>
          <w:tcPr>
            <w:tcW w:w="314" w:type="pct"/>
            <w:tcBorders>
              <w:top w:val="nil"/>
              <w:left w:val="nil"/>
              <w:bottom w:val="single" w:sz="4" w:space="0" w:color="auto"/>
              <w:right w:val="single" w:sz="4" w:space="0" w:color="auto"/>
            </w:tcBorders>
            <w:shd w:val="clear" w:color="auto" w:fill="auto"/>
            <w:vAlign w:val="center"/>
            <w:hideMark/>
          </w:tcPr>
          <w:p w14:paraId="746AC81F" w14:textId="77777777" w:rsidR="009E4C91" w:rsidRPr="004F24F9" w:rsidRDefault="009E4C91" w:rsidP="00484843">
            <w:pPr>
              <w:widowControl w:val="0"/>
              <w:jc w:val="center"/>
              <w:rPr>
                <w:rFonts w:cs="Times New Roman"/>
                <w:sz w:val="16"/>
                <w:szCs w:val="16"/>
              </w:rPr>
            </w:pPr>
            <w:r w:rsidRPr="004F24F9">
              <w:rPr>
                <w:rFonts w:cs="Times New Roman"/>
                <w:sz w:val="16"/>
                <w:szCs w:val="16"/>
              </w:rPr>
              <w:t>14,26</w:t>
            </w:r>
          </w:p>
        </w:tc>
      </w:tr>
      <w:tr w:rsidR="004F24F9" w:rsidRPr="004F24F9" w14:paraId="7128FF09" w14:textId="77777777" w:rsidTr="00990050">
        <w:trPr>
          <w:trHeight w:val="561"/>
          <w:jc w:val="center"/>
        </w:trPr>
        <w:tc>
          <w:tcPr>
            <w:tcW w:w="642" w:type="pct"/>
            <w:tcBorders>
              <w:top w:val="nil"/>
              <w:left w:val="single" w:sz="4" w:space="0" w:color="auto"/>
              <w:bottom w:val="single" w:sz="4" w:space="0" w:color="auto"/>
              <w:right w:val="single" w:sz="4" w:space="0" w:color="auto"/>
            </w:tcBorders>
            <w:shd w:val="clear" w:color="auto" w:fill="auto"/>
            <w:vAlign w:val="center"/>
          </w:tcPr>
          <w:p w14:paraId="00C48B2D" w14:textId="77777777" w:rsidR="009E4C91" w:rsidRPr="004F24F9" w:rsidRDefault="009E4C91" w:rsidP="00484843">
            <w:pPr>
              <w:widowControl w:val="0"/>
              <w:rPr>
                <w:rFonts w:cs="Times New Roman"/>
                <w:sz w:val="16"/>
                <w:szCs w:val="16"/>
              </w:rPr>
            </w:pPr>
            <w:r w:rsidRPr="004F24F9">
              <w:rPr>
                <w:rFonts w:cs="Times New Roman"/>
                <w:sz w:val="16"/>
                <w:szCs w:val="16"/>
              </w:rPr>
              <w:t>Huy động các tổ chức, cá nhân</w:t>
            </w:r>
          </w:p>
        </w:tc>
        <w:tc>
          <w:tcPr>
            <w:tcW w:w="487" w:type="pct"/>
            <w:tcBorders>
              <w:top w:val="single" w:sz="4" w:space="0" w:color="auto"/>
              <w:left w:val="nil"/>
              <w:bottom w:val="single" w:sz="4" w:space="0" w:color="auto"/>
              <w:right w:val="single" w:sz="4" w:space="0" w:color="auto"/>
            </w:tcBorders>
            <w:vAlign w:val="center"/>
          </w:tcPr>
          <w:p w14:paraId="0F1BF2B3"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159.010</w:t>
            </w:r>
          </w:p>
        </w:tc>
        <w:tc>
          <w:tcPr>
            <w:tcW w:w="427" w:type="pct"/>
            <w:tcBorders>
              <w:top w:val="single" w:sz="4" w:space="0" w:color="auto"/>
              <w:left w:val="single" w:sz="4" w:space="0" w:color="auto"/>
              <w:bottom w:val="single" w:sz="4" w:space="0" w:color="auto"/>
              <w:right w:val="single" w:sz="4" w:space="0" w:color="auto"/>
            </w:tcBorders>
            <w:vAlign w:val="center"/>
          </w:tcPr>
          <w:p w14:paraId="3E3A7D18"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6,27</w:t>
            </w:r>
          </w:p>
        </w:tc>
        <w:tc>
          <w:tcPr>
            <w:tcW w:w="488" w:type="pct"/>
            <w:tcBorders>
              <w:top w:val="single" w:sz="4" w:space="0" w:color="auto"/>
              <w:left w:val="single" w:sz="4" w:space="0" w:color="auto"/>
              <w:bottom w:val="single" w:sz="4" w:space="0" w:color="auto"/>
              <w:right w:val="single" w:sz="4" w:space="0" w:color="auto"/>
            </w:tcBorders>
            <w:vAlign w:val="center"/>
          </w:tcPr>
          <w:p w14:paraId="64DDCC4F"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216.935</w:t>
            </w:r>
          </w:p>
        </w:tc>
        <w:tc>
          <w:tcPr>
            <w:tcW w:w="352" w:type="pct"/>
            <w:tcBorders>
              <w:top w:val="single" w:sz="4" w:space="0" w:color="auto"/>
              <w:left w:val="single" w:sz="4" w:space="0" w:color="auto"/>
              <w:bottom w:val="single" w:sz="4" w:space="0" w:color="auto"/>
              <w:right w:val="single" w:sz="4" w:space="0" w:color="auto"/>
            </w:tcBorders>
            <w:vAlign w:val="center"/>
          </w:tcPr>
          <w:p w14:paraId="2BF3D8E7"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7,59</w:t>
            </w:r>
          </w:p>
        </w:tc>
        <w:tc>
          <w:tcPr>
            <w:tcW w:w="492" w:type="pct"/>
            <w:tcBorders>
              <w:top w:val="nil"/>
              <w:left w:val="single" w:sz="4" w:space="0" w:color="auto"/>
              <w:bottom w:val="single" w:sz="4" w:space="0" w:color="auto"/>
              <w:right w:val="single" w:sz="4" w:space="0" w:color="auto"/>
            </w:tcBorders>
            <w:shd w:val="clear" w:color="auto" w:fill="auto"/>
            <w:vAlign w:val="center"/>
          </w:tcPr>
          <w:p w14:paraId="44D4E677"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277.211</w:t>
            </w:r>
          </w:p>
        </w:tc>
        <w:tc>
          <w:tcPr>
            <w:tcW w:w="422" w:type="pct"/>
            <w:tcBorders>
              <w:top w:val="nil"/>
              <w:left w:val="nil"/>
              <w:bottom w:val="single" w:sz="4" w:space="0" w:color="auto"/>
              <w:right w:val="single" w:sz="4" w:space="0" w:color="auto"/>
            </w:tcBorders>
            <w:shd w:val="clear" w:color="auto" w:fill="auto"/>
            <w:vAlign w:val="center"/>
          </w:tcPr>
          <w:p w14:paraId="369A4730"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7,74</w:t>
            </w:r>
          </w:p>
        </w:tc>
        <w:tc>
          <w:tcPr>
            <w:tcW w:w="494" w:type="pct"/>
            <w:tcBorders>
              <w:top w:val="nil"/>
              <w:left w:val="nil"/>
              <w:bottom w:val="single" w:sz="4" w:space="0" w:color="auto"/>
              <w:right w:val="single" w:sz="4" w:space="0" w:color="auto"/>
            </w:tcBorders>
            <w:shd w:val="clear" w:color="auto" w:fill="auto"/>
            <w:vAlign w:val="center"/>
          </w:tcPr>
          <w:p w14:paraId="57A9BBC0"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309.606</w:t>
            </w:r>
          </w:p>
        </w:tc>
        <w:tc>
          <w:tcPr>
            <w:tcW w:w="353" w:type="pct"/>
            <w:tcBorders>
              <w:top w:val="nil"/>
              <w:left w:val="nil"/>
              <w:bottom w:val="single" w:sz="4" w:space="0" w:color="auto"/>
              <w:right w:val="single" w:sz="4" w:space="0" w:color="auto"/>
            </w:tcBorders>
            <w:shd w:val="clear" w:color="auto" w:fill="auto"/>
            <w:vAlign w:val="center"/>
          </w:tcPr>
          <w:p w14:paraId="2594A140"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7,69</w:t>
            </w:r>
          </w:p>
        </w:tc>
        <w:tc>
          <w:tcPr>
            <w:tcW w:w="531" w:type="pct"/>
            <w:tcBorders>
              <w:top w:val="nil"/>
              <w:left w:val="nil"/>
              <w:bottom w:val="single" w:sz="4" w:space="0" w:color="auto"/>
              <w:right w:val="single" w:sz="4" w:space="0" w:color="auto"/>
            </w:tcBorders>
            <w:shd w:val="clear" w:color="auto" w:fill="auto"/>
            <w:vAlign w:val="center"/>
          </w:tcPr>
          <w:p w14:paraId="51FAC853"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332.730</w:t>
            </w:r>
          </w:p>
        </w:tc>
        <w:tc>
          <w:tcPr>
            <w:tcW w:w="314" w:type="pct"/>
            <w:tcBorders>
              <w:top w:val="nil"/>
              <w:left w:val="nil"/>
              <w:bottom w:val="single" w:sz="4" w:space="0" w:color="auto"/>
              <w:right w:val="single" w:sz="4" w:space="0" w:color="auto"/>
            </w:tcBorders>
            <w:shd w:val="clear" w:color="auto" w:fill="auto"/>
            <w:vAlign w:val="center"/>
          </w:tcPr>
          <w:p w14:paraId="1CE3FB36"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6,67</w:t>
            </w:r>
          </w:p>
        </w:tc>
      </w:tr>
      <w:tr w:rsidR="004F24F9" w:rsidRPr="004F24F9" w14:paraId="03CA82DC" w14:textId="77777777" w:rsidTr="00990050">
        <w:trPr>
          <w:trHeight w:val="428"/>
          <w:jc w:val="center"/>
        </w:trPr>
        <w:tc>
          <w:tcPr>
            <w:tcW w:w="642" w:type="pct"/>
            <w:tcBorders>
              <w:top w:val="nil"/>
              <w:left w:val="single" w:sz="4" w:space="0" w:color="auto"/>
              <w:bottom w:val="single" w:sz="4" w:space="0" w:color="auto"/>
              <w:right w:val="single" w:sz="4" w:space="0" w:color="auto"/>
            </w:tcBorders>
            <w:shd w:val="clear" w:color="auto" w:fill="auto"/>
            <w:vAlign w:val="center"/>
          </w:tcPr>
          <w:p w14:paraId="4CCCF3DB" w14:textId="77777777" w:rsidR="009E4C91" w:rsidRPr="004F24F9" w:rsidRDefault="009E4C91" w:rsidP="00484843">
            <w:pPr>
              <w:widowControl w:val="0"/>
              <w:rPr>
                <w:rFonts w:cs="Times New Roman"/>
                <w:sz w:val="16"/>
                <w:szCs w:val="16"/>
              </w:rPr>
            </w:pPr>
            <w:r w:rsidRPr="004F24F9">
              <w:rPr>
                <w:rFonts w:cs="Times New Roman"/>
                <w:sz w:val="16"/>
                <w:szCs w:val="16"/>
              </w:rPr>
              <w:t>Huy động qua Tổ TK&amp;VV</w:t>
            </w:r>
          </w:p>
        </w:tc>
        <w:tc>
          <w:tcPr>
            <w:tcW w:w="487" w:type="pct"/>
            <w:tcBorders>
              <w:top w:val="single" w:sz="4" w:space="0" w:color="auto"/>
              <w:left w:val="nil"/>
              <w:bottom w:val="single" w:sz="4" w:space="0" w:color="auto"/>
              <w:right w:val="single" w:sz="4" w:space="0" w:color="auto"/>
            </w:tcBorders>
            <w:vAlign w:val="center"/>
          </w:tcPr>
          <w:p w14:paraId="6DB3EE80"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223.593</w:t>
            </w:r>
          </w:p>
        </w:tc>
        <w:tc>
          <w:tcPr>
            <w:tcW w:w="427" w:type="pct"/>
            <w:tcBorders>
              <w:top w:val="single" w:sz="4" w:space="0" w:color="auto"/>
              <w:left w:val="single" w:sz="4" w:space="0" w:color="auto"/>
              <w:bottom w:val="single" w:sz="4" w:space="0" w:color="auto"/>
              <w:right w:val="single" w:sz="4" w:space="0" w:color="auto"/>
            </w:tcBorders>
            <w:vAlign w:val="center"/>
          </w:tcPr>
          <w:p w14:paraId="2AD18B74"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8,82</w:t>
            </w:r>
          </w:p>
        </w:tc>
        <w:tc>
          <w:tcPr>
            <w:tcW w:w="488" w:type="pct"/>
            <w:tcBorders>
              <w:top w:val="single" w:sz="4" w:space="0" w:color="auto"/>
              <w:left w:val="single" w:sz="4" w:space="0" w:color="auto"/>
              <w:bottom w:val="single" w:sz="4" w:space="0" w:color="auto"/>
              <w:right w:val="single" w:sz="4" w:space="0" w:color="auto"/>
            </w:tcBorders>
            <w:vAlign w:val="center"/>
          </w:tcPr>
          <w:p w14:paraId="43DFAACC"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281.125</w:t>
            </w:r>
          </w:p>
        </w:tc>
        <w:tc>
          <w:tcPr>
            <w:tcW w:w="352" w:type="pct"/>
            <w:tcBorders>
              <w:top w:val="single" w:sz="4" w:space="0" w:color="auto"/>
              <w:left w:val="single" w:sz="4" w:space="0" w:color="auto"/>
              <w:bottom w:val="single" w:sz="4" w:space="0" w:color="auto"/>
              <w:right w:val="single" w:sz="4" w:space="0" w:color="auto"/>
            </w:tcBorders>
            <w:vAlign w:val="center"/>
          </w:tcPr>
          <w:p w14:paraId="76A81CC9"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9,84</w:t>
            </w:r>
          </w:p>
        </w:tc>
        <w:tc>
          <w:tcPr>
            <w:tcW w:w="492" w:type="pct"/>
            <w:tcBorders>
              <w:top w:val="nil"/>
              <w:left w:val="single" w:sz="4" w:space="0" w:color="auto"/>
              <w:bottom w:val="single" w:sz="4" w:space="0" w:color="auto"/>
              <w:right w:val="single" w:sz="4" w:space="0" w:color="auto"/>
            </w:tcBorders>
            <w:shd w:val="clear" w:color="auto" w:fill="auto"/>
            <w:vAlign w:val="center"/>
          </w:tcPr>
          <w:p w14:paraId="2A655291"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354.722</w:t>
            </w:r>
          </w:p>
        </w:tc>
        <w:tc>
          <w:tcPr>
            <w:tcW w:w="422" w:type="pct"/>
            <w:tcBorders>
              <w:top w:val="nil"/>
              <w:left w:val="nil"/>
              <w:bottom w:val="single" w:sz="4" w:space="0" w:color="auto"/>
              <w:right w:val="single" w:sz="4" w:space="0" w:color="auto"/>
            </w:tcBorders>
            <w:shd w:val="clear" w:color="auto" w:fill="auto"/>
            <w:vAlign w:val="center"/>
          </w:tcPr>
          <w:p w14:paraId="0C1D4EC9"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9,90</w:t>
            </w:r>
          </w:p>
        </w:tc>
        <w:tc>
          <w:tcPr>
            <w:tcW w:w="494" w:type="pct"/>
            <w:tcBorders>
              <w:top w:val="nil"/>
              <w:left w:val="nil"/>
              <w:bottom w:val="single" w:sz="4" w:space="0" w:color="auto"/>
              <w:right w:val="single" w:sz="4" w:space="0" w:color="auto"/>
            </w:tcBorders>
            <w:shd w:val="clear" w:color="auto" w:fill="auto"/>
            <w:vAlign w:val="center"/>
          </w:tcPr>
          <w:p w14:paraId="5B641AC8"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318.587</w:t>
            </w:r>
          </w:p>
        </w:tc>
        <w:tc>
          <w:tcPr>
            <w:tcW w:w="353" w:type="pct"/>
            <w:tcBorders>
              <w:top w:val="nil"/>
              <w:left w:val="nil"/>
              <w:bottom w:val="single" w:sz="4" w:space="0" w:color="auto"/>
              <w:right w:val="single" w:sz="4" w:space="0" w:color="auto"/>
            </w:tcBorders>
            <w:shd w:val="clear" w:color="auto" w:fill="auto"/>
            <w:vAlign w:val="center"/>
          </w:tcPr>
          <w:p w14:paraId="2A64597A"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7,91</w:t>
            </w:r>
          </w:p>
        </w:tc>
        <w:tc>
          <w:tcPr>
            <w:tcW w:w="531" w:type="pct"/>
            <w:tcBorders>
              <w:top w:val="nil"/>
              <w:left w:val="nil"/>
              <w:bottom w:val="single" w:sz="4" w:space="0" w:color="auto"/>
              <w:right w:val="single" w:sz="4" w:space="0" w:color="auto"/>
            </w:tcBorders>
            <w:shd w:val="clear" w:color="auto" w:fill="auto"/>
            <w:vAlign w:val="center"/>
          </w:tcPr>
          <w:p w14:paraId="66C96998"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378.147</w:t>
            </w:r>
          </w:p>
        </w:tc>
        <w:tc>
          <w:tcPr>
            <w:tcW w:w="314" w:type="pct"/>
            <w:tcBorders>
              <w:top w:val="nil"/>
              <w:left w:val="nil"/>
              <w:bottom w:val="single" w:sz="4" w:space="0" w:color="auto"/>
              <w:right w:val="single" w:sz="4" w:space="0" w:color="auto"/>
            </w:tcBorders>
            <w:shd w:val="clear" w:color="auto" w:fill="auto"/>
            <w:vAlign w:val="center"/>
          </w:tcPr>
          <w:p w14:paraId="57E4E8F9" w14:textId="77777777" w:rsidR="009E4C91" w:rsidRPr="004F24F9" w:rsidRDefault="009E4C91" w:rsidP="00484843">
            <w:pPr>
              <w:widowControl w:val="0"/>
              <w:jc w:val="center"/>
              <w:rPr>
                <w:rFonts w:cs="Times New Roman"/>
                <w:i/>
                <w:sz w:val="16"/>
                <w:szCs w:val="16"/>
              </w:rPr>
            </w:pPr>
            <w:r w:rsidRPr="004F24F9">
              <w:rPr>
                <w:rFonts w:cs="Times New Roman"/>
                <w:sz w:val="16"/>
                <w:szCs w:val="16"/>
              </w:rPr>
              <w:t>7,58</w:t>
            </w:r>
          </w:p>
        </w:tc>
      </w:tr>
      <w:tr w:rsidR="004F24F9" w:rsidRPr="004F24F9" w14:paraId="49967DD3" w14:textId="77777777" w:rsidTr="00990050">
        <w:trPr>
          <w:trHeight w:val="808"/>
          <w:jc w:val="center"/>
        </w:trPr>
        <w:tc>
          <w:tcPr>
            <w:tcW w:w="642" w:type="pct"/>
            <w:tcBorders>
              <w:top w:val="nil"/>
              <w:left w:val="single" w:sz="4" w:space="0" w:color="auto"/>
              <w:bottom w:val="single" w:sz="4" w:space="0" w:color="auto"/>
              <w:right w:val="single" w:sz="4" w:space="0" w:color="auto"/>
            </w:tcBorders>
            <w:shd w:val="clear" w:color="auto" w:fill="auto"/>
            <w:vAlign w:val="center"/>
          </w:tcPr>
          <w:p w14:paraId="0B0AE2B4" w14:textId="77777777" w:rsidR="009E4C91" w:rsidRPr="004F24F9" w:rsidRDefault="009E4C91" w:rsidP="00484843">
            <w:pPr>
              <w:widowControl w:val="0"/>
              <w:rPr>
                <w:rFonts w:cs="Times New Roman"/>
                <w:sz w:val="16"/>
                <w:szCs w:val="16"/>
              </w:rPr>
            </w:pPr>
            <w:r w:rsidRPr="004F24F9">
              <w:rPr>
                <w:rFonts w:cs="Times New Roman"/>
                <w:sz w:val="16"/>
                <w:szCs w:val="16"/>
              </w:rPr>
              <w:t>Nguồn vốn nhận ủy thác từ ngân sách địa phương</w:t>
            </w:r>
          </w:p>
        </w:tc>
        <w:tc>
          <w:tcPr>
            <w:tcW w:w="487" w:type="pct"/>
            <w:tcBorders>
              <w:top w:val="single" w:sz="4" w:space="0" w:color="auto"/>
              <w:left w:val="nil"/>
              <w:bottom w:val="single" w:sz="4" w:space="0" w:color="auto"/>
              <w:right w:val="single" w:sz="4" w:space="0" w:color="auto"/>
            </w:tcBorders>
            <w:vAlign w:val="center"/>
          </w:tcPr>
          <w:p w14:paraId="3BA7D062" w14:textId="77777777" w:rsidR="009E4C91" w:rsidRPr="004F24F9" w:rsidRDefault="009E4C91" w:rsidP="00484843">
            <w:pPr>
              <w:widowControl w:val="0"/>
              <w:jc w:val="center"/>
              <w:rPr>
                <w:rFonts w:cs="Times New Roman"/>
                <w:sz w:val="16"/>
                <w:szCs w:val="16"/>
              </w:rPr>
            </w:pPr>
            <w:r w:rsidRPr="004F24F9">
              <w:rPr>
                <w:rFonts w:cs="Times New Roman"/>
                <w:sz w:val="16"/>
                <w:szCs w:val="16"/>
              </w:rPr>
              <w:t>442.784</w:t>
            </w:r>
          </w:p>
        </w:tc>
        <w:tc>
          <w:tcPr>
            <w:tcW w:w="427" w:type="pct"/>
            <w:tcBorders>
              <w:top w:val="single" w:sz="4" w:space="0" w:color="auto"/>
              <w:left w:val="single" w:sz="4" w:space="0" w:color="auto"/>
              <w:bottom w:val="single" w:sz="4" w:space="0" w:color="auto"/>
              <w:right w:val="single" w:sz="4" w:space="0" w:color="auto"/>
            </w:tcBorders>
            <w:vAlign w:val="center"/>
          </w:tcPr>
          <w:p w14:paraId="2FF213E6" w14:textId="77777777" w:rsidR="009E4C91" w:rsidRPr="004F24F9" w:rsidRDefault="009E4C91" w:rsidP="00484843">
            <w:pPr>
              <w:widowControl w:val="0"/>
              <w:jc w:val="center"/>
              <w:rPr>
                <w:rFonts w:cs="Times New Roman"/>
                <w:sz w:val="16"/>
                <w:szCs w:val="16"/>
              </w:rPr>
            </w:pPr>
            <w:r w:rsidRPr="004F24F9">
              <w:rPr>
                <w:rFonts w:cs="Times New Roman"/>
                <w:sz w:val="16"/>
                <w:szCs w:val="16"/>
              </w:rPr>
              <w:t>17,47</w:t>
            </w:r>
          </w:p>
        </w:tc>
        <w:tc>
          <w:tcPr>
            <w:tcW w:w="488" w:type="pct"/>
            <w:tcBorders>
              <w:top w:val="single" w:sz="4" w:space="0" w:color="auto"/>
              <w:left w:val="single" w:sz="4" w:space="0" w:color="auto"/>
              <w:bottom w:val="single" w:sz="4" w:space="0" w:color="auto"/>
              <w:right w:val="single" w:sz="4" w:space="0" w:color="auto"/>
            </w:tcBorders>
            <w:vAlign w:val="center"/>
          </w:tcPr>
          <w:p w14:paraId="74F21F4A" w14:textId="77777777" w:rsidR="009E4C91" w:rsidRPr="004F24F9" w:rsidRDefault="009E4C91" w:rsidP="00484843">
            <w:pPr>
              <w:widowControl w:val="0"/>
              <w:jc w:val="center"/>
              <w:rPr>
                <w:rFonts w:cs="Times New Roman"/>
                <w:sz w:val="16"/>
                <w:szCs w:val="16"/>
              </w:rPr>
            </w:pPr>
            <w:r w:rsidRPr="004F24F9">
              <w:rPr>
                <w:rFonts w:cs="Times New Roman"/>
                <w:sz w:val="16"/>
                <w:szCs w:val="16"/>
              </w:rPr>
              <w:t>591.201</w:t>
            </w:r>
          </w:p>
        </w:tc>
        <w:tc>
          <w:tcPr>
            <w:tcW w:w="352" w:type="pct"/>
            <w:tcBorders>
              <w:top w:val="single" w:sz="4" w:space="0" w:color="auto"/>
              <w:left w:val="single" w:sz="4" w:space="0" w:color="auto"/>
              <w:bottom w:val="single" w:sz="4" w:space="0" w:color="auto"/>
              <w:right w:val="single" w:sz="4" w:space="0" w:color="auto"/>
            </w:tcBorders>
            <w:vAlign w:val="center"/>
          </w:tcPr>
          <w:p w14:paraId="07A757B1" w14:textId="77777777" w:rsidR="009E4C91" w:rsidRPr="004F24F9" w:rsidRDefault="009E4C91" w:rsidP="00484843">
            <w:pPr>
              <w:widowControl w:val="0"/>
              <w:jc w:val="center"/>
              <w:rPr>
                <w:rFonts w:cs="Times New Roman"/>
                <w:sz w:val="16"/>
                <w:szCs w:val="16"/>
              </w:rPr>
            </w:pPr>
            <w:r w:rsidRPr="004F24F9">
              <w:rPr>
                <w:rFonts w:cs="Times New Roman"/>
                <w:sz w:val="16"/>
                <w:szCs w:val="16"/>
              </w:rPr>
              <w:t>20,69</w:t>
            </w:r>
          </w:p>
        </w:tc>
        <w:tc>
          <w:tcPr>
            <w:tcW w:w="492" w:type="pct"/>
            <w:tcBorders>
              <w:top w:val="nil"/>
              <w:left w:val="single" w:sz="4" w:space="0" w:color="auto"/>
              <w:bottom w:val="single" w:sz="4" w:space="0" w:color="auto"/>
              <w:right w:val="single" w:sz="4" w:space="0" w:color="auto"/>
            </w:tcBorders>
            <w:shd w:val="clear" w:color="auto" w:fill="auto"/>
            <w:vAlign w:val="center"/>
          </w:tcPr>
          <w:p w14:paraId="39DBD3E1" w14:textId="77777777" w:rsidR="009E4C91" w:rsidRPr="004F24F9" w:rsidRDefault="009E4C91" w:rsidP="00484843">
            <w:pPr>
              <w:widowControl w:val="0"/>
              <w:jc w:val="center"/>
              <w:rPr>
                <w:rFonts w:cs="Times New Roman"/>
                <w:sz w:val="16"/>
                <w:szCs w:val="16"/>
              </w:rPr>
            </w:pPr>
            <w:r w:rsidRPr="004F24F9">
              <w:rPr>
                <w:rFonts w:cs="Times New Roman"/>
                <w:sz w:val="16"/>
                <w:szCs w:val="16"/>
              </w:rPr>
              <w:t>757.346</w:t>
            </w:r>
          </w:p>
        </w:tc>
        <w:tc>
          <w:tcPr>
            <w:tcW w:w="422" w:type="pct"/>
            <w:tcBorders>
              <w:top w:val="nil"/>
              <w:left w:val="nil"/>
              <w:bottom w:val="single" w:sz="4" w:space="0" w:color="auto"/>
              <w:right w:val="single" w:sz="4" w:space="0" w:color="auto"/>
            </w:tcBorders>
            <w:shd w:val="clear" w:color="auto" w:fill="auto"/>
            <w:vAlign w:val="center"/>
          </w:tcPr>
          <w:p w14:paraId="415C2984" w14:textId="77777777" w:rsidR="009E4C91" w:rsidRPr="004F24F9" w:rsidRDefault="009E4C91" w:rsidP="00484843">
            <w:pPr>
              <w:widowControl w:val="0"/>
              <w:jc w:val="center"/>
              <w:rPr>
                <w:rFonts w:cs="Times New Roman"/>
                <w:sz w:val="16"/>
                <w:szCs w:val="16"/>
              </w:rPr>
            </w:pPr>
            <w:r w:rsidRPr="004F24F9">
              <w:rPr>
                <w:rFonts w:cs="Times New Roman"/>
                <w:sz w:val="16"/>
                <w:szCs w:val="16"/>
              </w:rPr>
              <w:t>21,14</w:t>
            </w:r>
          </w:p>
        </w:tc>
        <w:tc>
          <w:tcPr>
            <w:tcW w:w="494" w:type="pct"/>
            <w:tcBorders>
              <w:top w:val="nil"/>
              <w:left w:val="nil"/>
              <w:bottom w:val="single" w:sz="4" w:space="0" w:color="auto"/>
              <w:right w:val="single" w:sz="4" w:space="0" w:color="auto"/>
            </w:tcBorders>
            <w:shd w:val="clear" w:color="auto" w:fill="auto"/>
            <w:vAlign w:val="center"/>
          </w:tcPr>
          <w:p w14:paraId="07B19170" w14:textId="77777777" w:rsidR="009E4C91" w:rsidRPr="004F24F9" w:rsidRDefault="009E4C91" w:rsidP="00484843">
            <w:pPr>
              <w:widowControl w:val="0"/>
              <w:jc w:val="center"/>
              <w:rPr>
                <w:rFonts w:cs="Times New Roman"/>
                <w:sz w:val="16"/>
                <w:szCs w:val="16"/>
              </w:rPr>
            </w:pPr>
            <w:r w:rsidRPr="004F24F9">
              <w:rPr>
                <w:rFonts w:cs="Times New Roman"/>
                <w:sz w:val="16"/>
                <w:szCs w:val="16"/>
              </w:rPr>
              <w:t>1.004.378</w:t>
            </w:r>
          </w:p>
        </w:tc>
        <w:tc>
          <w:tcPr>
            <w:tcW w:w="353" w:type="pct"/>
            <w:tcBorders>
              <w:top w:val="nil"/>
              <w:left w:val="nil"/>
              <w:bottom w:val="single" w:sz="4" w:space="0" w:color="auto"/>
              <w:right w:val="single" w:sz="4" w:space="0" w:color="auto"/>
            </w:tcBorders>
            <w:shd w:val="clear" w:color="auto" w:fill="auto"/>
            <w:vAlign w:val="center"/>
          </w:tcPr>
          <w:p w14:paraId="4225190E" w14:textId="77777777" w:rsidR="009E4C91" w:rsidRPr="004F24F9" w:rsidRDefault="009E4C91" w:rsidP="00484843">
            <w:pPr>
              <w:widowControl w:val="0"/>
              <w:jc w:val="center"/>
              <w:rPr>
                <w:rFonts w:cs="Times New Roman"/>
                <w:sz w:val="16"/>
                <w:szCs w:val="16"/>
              </w:rPr>
            </w:pPr>
            <w:r w:rsidRPr="004F24F9">
              <w:rPr>
                <w:rFonts w:cs="Times New Roman"/>
                <w:sz w:val="16"/>
                <w:szCs w:val="16"/>
              </w:rPr>
              <w:t>24,94</w:t>
            </w:r>
          </w:p>
        </w:tc>
        <w:tc>
          <w:tcPr>
            <w:tcW w:w="531" w:type="pct"/>
            <w:tcBorders>
              <w:top w:val="nil"/>
              <w:left w:val="nil"/>
              <w:bottom w:val="single" w:sz="4" w:space="0" w:color="auto"/>
              <w:right w:val="single" w:sz="4" w:space="0" w:color="auto"/>
            </w:tcBorders>
            <w:shd w:val="clear" w:color="auto" w:fill="auto"/>
            <w:vAlign w:val="center"/>
          </w:tcPr>
          <w:p w14:paraId="243EFDBD" w14:textId="77777777" w:rsidR="009E4C91" w:rsidRPr="004F24F9" w:rsidRDefault="009E4C91" w:rsidP="00484843">
            <w:pPr>
              <w:widowControl w:val="0"/>
              <w:jc w:val="center"/>
              <w:rPr>
                <w:rFonts w:cs="Times New Roman"/>
                <w:sz w:val="16"/>
                <w:szCs w:val="16"/>
              </w:rPr>
            </w:pPr>
            <w:r w:rsidRPr="004F24F9">
              <w:rPr>
                <w:rFonts w:cs="Times New Roman"/>
                <w:sz w:val="16"/>
                <w:szCs w:val="16"/>
              </w:rPr>
              <w:t>1.238.907</w:t>
            </w:r>
          </w:p>
        </w:tc>
        <w:tc>
          <w:tcPr>
            <w:tcW w:w="314" w:type="pct"/>
            <w:tcBorders>
              <w:top w:val="nil"/>
              <w:left w:val="nil"/>
              <w:bottom w:val="single" w:sz="4" w:space="0" w:color="auto"/>
              <w:right w:val="single" w:sz="4" w:space="0" w:color="auto"/>
            </w:tcBorders>
            <w:shd w:val="clear" w:color="auto" w:fill="auto"/>
            <w:vAlign w:val="center"/>
          </w:tcPr>
          <w:p w14:paraId="1F98F25C" w14:textId="77777777" w:rsidR="009E4C91" w:rsidRPr="004F24F9" w:rsidRDefault="009E4C91" w:rsidP="00484843">
            <w:pPr>
              <w:widowControl w:val="0"/>
              <w:jc w:val="center"/>
              <w:rPr>
                <w:rFonts w:cs="Times New Roman"/>
                <w:sz w:val="16"/>
                <w:szCs w:val="16"/>
              </w:rPr>
            </w:pPr>
            <w:r w:rsidRPr="004F24F9">
              <w:rPr>
                <w:rFonts w:cs="Times New Roman"/>
                <w:sz w:val="16"/>
                <w:szCs w:val="16"/>
              </w:rPr>
              <w:t>24,84</w:t>
            </w:r>
          </w:p>
        </w:tc>
      </w:tr>
      <w:tr w:rsidR="004F24F9" w:rsidRPr="004F24F9" w14:paraId="5B4ADC43" w14:textId="77777777" w:rsidTr="00990050">
        <w:trPr>
          <w:trHeight w:val="489"/>
          <w:jc w:val="center"/>
        </w:trPr>
        <w:tc>
          <w:tcPr>
            <w:tcW w:w="642" w:type="pct"/>
            <w:tcBorders>
              <w:top w:val="nil"/>
              <w:left w:val="single" w:sz="4" w:space="0" w:color="auto"/>
              <w:bottom w:val="single" w:sz="4" w:space="0" w:color="auto"/>
              <w:right w:val="single" w:sz="4" w:space="0" w:color="auto"/>
            </w:tcBorders>
            <w:shd w:val="clear" w:color="auto" w:fill="auto"/>
            <w:vAlign w:val="center"/>
            <w:hideMark/>
          </w:tcPr>
          <w:p w14:paraId="2D65EFA7" w14:textId="77777777" w:rsidR="009E4C91" w:rsidRPr="004F24F9" w:rsidRDefault="009E4C91" w:rsidP="00484843">
            <w:pPr>
              <w:widowControl w:val="0"/>
              <w:rPr>
                <w:rFonts w:cs="Times New Roman"/>
                <w:b/>
                <w:bCs/>
                <w:sz w:val="16"/>
                <w:szCs w:val="16"/>
              </w:rPr>
            </w:pPr>
            <w:r w:rsidRPr="004F24F9">
              <w:rPr>
                <w:rFonts w:cs="Times New Roman"/>
                <w:b/>
                <w:bCs/>
                <w:sz w:val="16"/>
                <w:szCs w:val="16"/>
              </w:rPr>
              <w:t>Tổng cộng</w:t>
            </w:r>
          </w:p>
        </w:tc>
        <w:tc>
          <w:tcPr>
            <w:tcW w:w="487" w:type="pct"/>
            <w:tcBorders>
              <w:top w:val="single" w:sz="4" w:space="0" w:color="auto"/>
              <w:left w:val="nil"/>
              <w:bottom w:val="single" w:sz="4" w:space="0" w:color="auto"/>
              <w:right w:val="single" w:sz="4" w:space="0" w:color="auto"/>
            </w:tcBorders>
            <w:vAlign w:val="center"/>
          </w:tcPr>
          <w:p w14:paraId="3AA7B801"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2.534.040</w:t>
            </w:r>
          </w:p>
        </w:tc>
        <w:tc>
          <w:tcPr>
            <w:tcW w:w="427" w:type="pct"/>
            <w:tcBorders>
              <w:top w:val="single" w:sz="4" w:space="0" w:color="auto"/>
              <w:left w:val="single" w:sz="4" w:space="0" w:color="auto"/>
              <w:bottom w:val="single" w:sz="4" w:space="0" w:color="auto"/>
              <w:right w:val="single" w:sz="4" w:space="0" w:color="auto"/>
            </w:tcBorders>
            <w:vAlign w:val="center"/>
          </w:tcPr>
          <w:p w14:paraId="4F4ACC23"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100</w:t>
            </w:r>
          </w:p>
        </w:tc>
        <w:tc>
          <w:tcPr>
            <w:tcW w:w="488" w:type="pct"/>
            <w:tcBorders>
              <w:top w:val="single" w:sz="4" w:space="0" w:color="auto"/>
              <w:left w:val="single" w:sz="4" w:space="0" w:color="auto"/>
              <w:bottom w:val="single" w:sz="4" w:space="0" w:color="auto"/>
              <w:right w:val="single" w:sz="4" w:space="0" w:color="auto"/>
            </w:tcBorders>
            <w:vAlign w:val="center"/>
          </w:tcPr>
          <w:p w14:paraId="03864963"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2.856.796</w:t>
            </w:r>
          </w:p>
        </w:tc>
        <w:tc>
          <w:tcPr>
            <w:tcW w:w="352" w:type="pct"/>
            <w:tcBorders>
              <w:top w:val="single" w:sz="4" w:space="0" w:color="auto"/>
              <w:left w:val="single" w:sz="4" w:space="0" w:color="auto"/>
              <w:bottom w:val="single" w:sz="4" w:space="0" w:color="auto"/>
              <w:right w:val="single" w:sz="4" w:space="0" w:color="auto"/>
            </w:tcBorders>
            <w:vAlign w:val="center"/>
          </w:tcPr>
          <w:p w14:paraId="51BA194E"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100</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6B69A3F8"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3.583.302</w:t>
            </w:r>
          </w:p>
        </w:tc>
        <w:tc>
          <w:tcPr>
            <w:tcW w:w="422" w:type="pct"/>
            <w:tcBorders>
              <w:top w:val="nil"/>
              <w:left w:val="nil"/>
              <w:bottom w:val="single" w:sz="4" w:space="0" w:color="auto"/>
              <w:right w:val="single" w:sz="4" w:space="0" w:color="auto"/>
            </w:tcBorders>
            <w:shd w:val="clear" w:color="auto" w:fill="auto"/>
            <w:vAlign w:val="center"/>
            <w:hideMark/>
          </w:tcPr>
          <w:p w14:paraId="4EC44ABE"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100</w:t>
            </w:r>
          </w:p>
        </w:tc>
        <w:tc>
          <w:tcPr>
            <w:tcW w:w="494" w:type="pct"/>
            <w:tcBorders>
              <w:top w:val="nil"/>
              <w:left w:val="nil"/>
              <w:bottom w:val="single" w:sz="4" w:space="0" w:color="auto"/>
              <w:right w:val="single" w:sz="4" w:space="0" w:color="auto"/>
            </w:tcBorders>
            <w:shd w:val="clear" w:color="auto" w:fill="auto"/>
            <w:vAlign w:val="center"/>
            <w:hideMark/>
          </w:tcPr>
          <w:p w14:paraId="5B74395B"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4.027.517</w:t>
            </w:r>
          </w:p>
        </w:tc>
        <w:tc>
          <w:tcPr>
            <w:tcW w:w="353" w:type="pct"/>
            <w:tcBorders>
              <w:top w:val="nil"/>
              <w:left w:val="nil"/>
              <w:bottom w:val="single" w:sz="4" w:space="0" w:color="auto"/>
              <w:right w:val="single" w:sz="4" w:space="0" w:color="auto"/>
            </w:tcBorders>
            <w:shd w:val="clear" w:color="auto" w:fill="auto"/>
            <w:vAlign w:val="center"/>
            <w:hideMark/>
          </w:tcPr>
          <w:p w14:paraId="14C94C33"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100</w:t>
            </w:r>
          </w:p>
        </w:tc>
        <w:tc>
          <w:tcPr>
            <w:tcW w:w="531" w:type="pct"/>
            <w:tcBorders>
              <w:top w:val="nil"/>
              <w:left w:val="nil"/>
              <w:bottom w:val="single" w:sz="4" w:space="0" w:color="auto"/>
              <w:right w:val="single" w:sz="4" w:space="0" w:color="auto"/>
            </w:tcBorders>
            <w:shd w:val="clear" w:color="auto" w:fill="auto"/>
            <w:vAlign w:val="center"/>
            <w:hideMark/>
          </w:tcPr>
          <w:p w14:paraId="097D08D6"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4.986.721</w:t>
            </w:r>
          </w:p>
        </w:tc>
        <w:tc>
          <w:tcPr>
            <w:tcW w:w="314" w:type="pct"/>
            <w:tcBorders>
              <w:top w:val="nil"/>
              <w:left w:val="nil"/>
              <w:bottom w:val="single" w:sz="4" w:space="0" w:color="auto"/>
              <w:right w:val="single" w:sz="4" w:space="0" w:color="auto"/>
            </w:tcBorders>
            <w:shd w:val="clear" w:color="auto" w:fill="auto"/>
            <w:vAlign w:val="center"/>
            <w:hideMark/>
          </w:tcPr>
          <w:p w14:paraId="1CC8B816" w14:textId="77777777" w:rsidR="009E4C91" w:rsidRPr="004F24F9" w:rsidRDefault="009E4C91" w:rsidP="00484843">
            <w:pPr>
              <w:widowControl w:val="0"/>
              <w:jc w:val="center"/>
              <w:rPr>
                <w:rFonts w:cs="Times New Roman"/>
                <w:b/>
                <w:bCs/>
                <w:sz w:val="16"/>
                <w:szCs w:val="16"/>
              </w:rPr>
            </w:pPr>
            <w:r w:rsidRPr="004F24F9">
              <w:rPr>
                <w:rFonts w:cs="Times New Roman"/>
                <w:sz w:val="16"/>
                <w:szCs w:val="16"/>
              </w:rPr>
              <w:t>100</w:t>
            </w:r>
          </w:p>
        </w:tc>
      </w:tr>
    </w:tbl>
    <w:p w14:paraId="593A8E69" w14:textId="77777777" w:rsidR="00AE023D" w:rsidRPr="004F24F9" w:rsidRDefault="00AE023D" w:rsidP="009327C3">
      <w:pPr>
        <w:spacing w:line="320" w:lineRule="exact"/>
        <w:ind w:firstLine="397"/>
        <w:jc w:val="both"/>
        <w:rPr>
          <w:rFonts w:cs="Times New Roman"/>
          <w:iCs/>
          <w:sz w:val="24"/>
          <w:szCs w:val="24"/>
        </w:rPr>
      </w:pPr>
      <w:r w:rsidRPr="004F24F9">
        <w:rPr>
          <w:rFonts w:cs="Times New Roman"/>
          <w:iCs/>
          <w:sz w:val="24"/>
          <w:szCs w:val="24"/>
        </w:rPr>
        <w:t>(Nguồn: Số liệu của Chi nhánh NHCSXH tỉnh Đồng Nai)</w:t>
      </w:r>
    </w:p>
    <w:p w14:paraId="367634C0" w14:textId="77777777" w:rsidR="00AE023D" w:rsidRPr="004F24F9" w:rsidRDefault="00AE023D" w:rsidP="009327C3">
      <w:pPr>
        <w:widowControl w:val="0"/>
        <w:shd w:val="clear" w:color="auto" w:fill="FFFFFF"/>
        <w:spacing w:line="320" w:lineRule="exact"/>
        <w:ind w:firstLine="397"/>
        <w:jc w:val="both"/>
        <w:rPr>
          <w:rFonts w:cs="Times New Roman"/>
          <w:sz w:val="24"/>
          <w:szCs w:val="24"/>
        </w:rPr>
        <w:sectPr w:rsidR="00AE023D" w:rsidRPr="004F24F9" w:rsidSect="00AE023D">
          <w:type w:val="continuous"/>
          <w:pgSz w:w="11057" w:h="15593" w:code="9"/>
          <w:pgMar w:top="1418" w:right="1418" w:bottom="1418" w:left="1418" w:header="964" w:footer="851" w:gutter="0"/>
          <w:cols w:space="708"/>
          <w:docGrid w:linePitch="381"/>
        </w:sectPr>
      </w:pPr>
    </w:p>
    <w:p w14:paraId="70CDCB18" w14:textId="4B2115C8" w:rsidR="009E4C91" w:rsidRPr="004F24F9" w:rsidRDefault="009E4C91" w:rsidP="009327C3">
      <w:pPr>
        <w:spacing w:line="320" w:lineRule="exact"/>
        <w:ind w:firstLine="397"/>
        <w:jc w:val="both"/>
        <w:rPr>
          <w:rFonts w:cs="Times New Roman"/>
          <w:bCs/>
          <w:sz w:val="24"/>
          <w:szCs w:val="24"/>
        </w:rPr>
      </w:pPr>
      <w:r w:rsidRPr="004F24F9">
        <w:rPr>
          <w:rFonts w:cs="Times New Roman"/>
          <w:bCs/>
          <w:i/>
          <w:sz w:val="24"/>
          <w:szCs w:val="24"/>
        </w:rPr>
        <w:lastRenderedPageBreak/>
        <w:t xml:space="preserve">Nguồn vốn </w:t>
      </w:r>
      <w:r w:rsidR="008F191D" w:rsidRPr="004F24F9">
        <w:rPr>
          <w:rFonts w:cs="Times New Roman"/>
          <w:i/>
          <w:iCs/>
          <w:sz w:val="24"/>
          <w:szCs w:val="24"/>
          <w:lang w:val="en-US"/>
        </w:rPr>
        <w:t>Trung ương</w:t>
      </w:r>
      <w:r w:rsidR="00484843" w:rsidRPr="004F24F9">
        <w:rPr>
          <w:rFonts w:cs="Times New Roman"/>
          <w:bCs/>
          <w:i/>
          <w:sz w:val="24"/>
          <w:szCs w:val="24"/>
        </w:rPr>
        <w:t>:</w:t>
      </w:r>
    </w:p>
    <w:p w14:paraId="21F53DEC" w14:textId="6A5ADA9B" w:rsidR="009E4C91" w:rsidRPr="004F24F9" w:rsidRDefault="009E4C91" w:rsidP="009327C3">
      <w:pPr>
        <w:widowControl w:val="0"/>
        <w:shd w:val="clear" w:color="auto" w:fill="FFFFFF"/>
        <w:spacing w:line="320" w:lineRule="exact"/>
        <w:ind w:firstLine="397"/>
        <w:jc w:val="both"/>
        <w:rPr>
          <w:rFonts w:cs="Times New Roman"/>
          <w:sz w:val="24"/>
          <w:szCs w:val="24"/>
        </w:rPr>
      </w:pPr>
      <w:r w:rsidRPr="004F24F9">
        <w:rPr>
          <w:rFonts w:cs="Times New Roman"/>
          <w:sz w:val="24"/>
          <w:szCs w:val="24"/>
        </w:rPr>
        <w:t xml:space="preserve">Nguồn vốn được chuyển về để thực hiện tín dụng chính sách xã hội qua 5 năm (2019-2023) chiếm </w:t>
      </w:r>
      <w:r w:rsidR="005D28C8" w:rsidRPr="004F24F9">
        <w:rPr>
          <w:rFonts w:cs="Times New Roman"/>
          <w:sz w:val="24"/>
          <w:szCs w:val="24"/>
        </w:rPr>
        <w:t>tỉ</w:t>
      </w:r>
      <w:r w:rsidRPr="004F24F9">
        <w:rPr>
          <w:rFonts w:cs="Times New Roman"/>
          <w:sz w:val="24"/>
          <w:szCs w:val="24"/>
        </w:rPr>
        <w:t xml:space="preserve"> trọng lớn nhất (bình quân 62,18%) trong cơ cấu nguồn vốn tại NHCSXH tỉnh Đồ</w:t>
      </w:r>
      <w:r w:rsidR="005D28C8" w:rsidRPr="004F24F9">
        <w:rPr>
          <w:rFonts w:cs="Times New Roman"/>
          <w:sz w:val="24"/>
          <w:szCs w:val="24"/>
        </w:rPr>
        <w:t>ng Nai. Hằ</w:t>
      </w:r>
      <w:r w:rsidRPr="004F24F9">
        <w:rPr>
          <w:rFonts w:cs="Times New Roman"/>
          <w:sz w:val="24"/>
          <w:szCs w:val="24"/>
        </w:rPr>
        <w:t xml:space="preserve">ng năm, nguồn vốn này đều được </w:t>
      </w:r>
      <w:r w:rsidR="008F191D" w:rsidRPr="004F24F9">
        <w:rPr>
          <w:rFonts w:cs="Times New Roman"/>
          <w:iCs/>
          <w:sz w:val="24"/>
          <w:szCs w:val="24"/>
          <w:lang w:val="en-US"/>
        </w:rPr>
        <w:t>Trung ương</w:t>
      </w:r>
      <w:r w:rsidRPr="004F24F9">
        <w:rPr>
          <w:rFonts w:cs="Times New Roman"/>
          <w:sz w:val="24"/>
          <w:szCs w:val="24"/>
        </w:rPr>
        <w:t xml:space="preserve"> phân bổ theo hướng năm sau cao hơn năm trước; tuy nhiên, </w:t>
      </w:r>
      <w:r w:rsidR="005D28C8" w:rsidRPr="004F24F9">
        <w:rPr>
          <w:rFonts w:cs="Times New Roman"/>
          <w:sz w:val="24"/>
          <w:szCs w:val="24"/>
        </w:rPr>
        <w:t>tỉ</w:t>
      </w:r>
      <w:r w:rsidRPr="004F24F9">
        <w:rPr>
          <w:rFonts w:cs="Times New Roman"/>
          <w:sz w:val="24"/>
          <w:szCs w:val="24"/>
        </w:rPr>
        <w:t xml:space="preserve"> trọng của nguồn này trên tổng nguồn vốn đang giảm dần theo từng năm</w:t>
      </w:r>
      <w:r w:rsidR="00E91C41" w:rsidRPr="004F24F9">
        <w:rPr>
          <w:rFonts w:cs="Times New Roman"/>
          <w:sz w:val="24"/>
          <w:szCs w:val="24"/>
          <w:lang w:val="en-US"/>
        </w:rPr>
        <w:t>. C</w:t>
      </w:r>
      <w:r w:rsidRPr="004F24F9">
        <w:rPr>
          <w:rFonts w:cs="Times New Roman"/>
          <w:sz w:val="24"/>
          <w:szCs w:val="24"/>
        </w:rPr>
        <w:t xml:space="preserve">ụ thể: Năm 2019 chiếm </w:t>
      </w:r>
      <w:r w:rsidR="005D28C8" w:rsidRPr="004F24F9">
        <w:rPr>
          <w:rFonts w:cs="Times New Roman"/>
          <w:sz w:val="24"/>
          <w:szCs w:val="24"/>
        </w:rPr>
        <w:t>tỉ</w:t>
      </w:r>
      <w:r w:rsidRPr="004F24F9">
        <w:rPr>
          <w:rFonts w:cs="Times New Roman"/>
          <w:sz w:val="24"/>
          <w:szCs w:val="24"/>
        </w:rPr>
        <w:t xml:space="preserve"> trọng 67,43%, năm 2020 chiếm 61,87%, năm 2021 chiếm 61,23%, năm 2022 chiếm 59,46% và năm 2023 chiếm 60,9%. </w:t>
      </w:r>
    </w:p>
    <w:p w14:paraId="58555748" w14:textId="2FF3CDF3" w:rsidR="009E4C91" w:rsidRPr="004F24F9" w:rsidRDefault="009E4C91" w:rsidP="009327C3">
      <w:pPr>
        <w:widowControl w:val="0"/>
        <w:spacing w:line="320" w:lineRule="exact"/>
        <w:ind w:firstLine="397"/>
        <w:jc w:val="both"/>
        <w:rPr>
          <w:rFonts w:cs="Times New Roman"/>
          <w:b/>
          <w:sz w:val="24"/>
          <w:szCs w:val="24"/>
        </w:rPr>
      </w:pPr>
      <w:r w:rsidRPr="004F24F9">
        <w:rPr>
          <w:rFonts w:cs="Times New Roman"/>
          <w:i/>
          <w:sz w:val="24"/>
          <w:szCs w:val="24"/>
        </w:rPr>
        <w:t xml:space="preserve">Nguồn vốn huy động được </w:t>
      </w:r>
      <w:r w:rsidR="008F191D" w:rsidRPr="004F24F9">
        <w:rPr>
          <w:rFonts w:cs="Times New Roman"/>
          <w:i/>
          <w:iCs/>
          <w:sz w:val="24"/>
          <w:szCs w:val="24"/>
          <w:lang w:val="en-US"/>
        </w:rPr>
        <w:t>Trung ương</w:t>
      </w:r>
      <w:r w:rsidRPr="004F24F9">
        <w:rPr>
          <w:rFonts w:cs="Times New Roman"/>
          <w:i/>
          <w:sz w:val="24"/>
          <w:szCs w:val="24"/>
        </w:rPr>
        <w:t xml:space="preserve"> cấp bù lãi suất</w:t>
      </w:r>
      <w:r w:rsidR="00484843" w:rsidRPr="004F24F9">
        <w:rPr>
          <w:rFonts w:cs="Times New Roman"/>
          <w:i/>
          <w:sz w:val="24"/>
          <w:szCs w:val="24"/>
        </w:rPr>
        <w:t>:</w:t>
      </w:r>
      <w:r w:rsidRPr="004F24F9">
        <w:rPr>
          <w:rFonts w:cs="Times New Roman"/>
          <w:b/>
          <w:sz w:val="24"/>
          <w:szCs w:val="24"/>
        </w:rPr>
        <w:t xml:space="preserve"> </w:t>
      </w:r>
      <w:bookmarkStart w:id="9" w:name="_Toc100605044"/>
      <w:bookmarkStart w:id="10" w:name="_Toc100605153"/>
      <w:bookmarkStart w:id="11" w:name="_Toc100605270"/>
      <w:bookmarkStart w:id="12" w:name="_Toc101384338"/>
    </w:p>
    <w:p w14:paraId="5D02491C" w14:textId="00C9700D" w:rsidR="009E4C91" w:rsidRPr="004F24F9" w:rsidRDefault="009E4C91" w:rsidP="009327C3">
      <w:pPr>
        <w:widowControl w:val="0"/>
        <w:spacing w:line="320" w:lineRule="exact"/>
        <w:ind w:firstLine="397"/>
        <w:jc w:val="both"/>
        <w:rPr>
          <w:rFonts w:cs="Times New Roman"/>
          <w:sz w:val="24"/>
          <w:szCs w:val="24"/>
        </w:rPr>
      </w:pPr>
      <w:r w:rsidRPr="004F24F9">
        <w:rPr>
          <w:rFonts w:cs="Times New Roman"/>
          <w:bCs/>
          <w:sz w:val="24"/>
          <w:szCs w:val="24"/>
        </w:rPr>
        <w:t xml:space="preserve">Nguồn vốn được Trung ương cấp bù lãi chiếm </w:t>
      </w:r>
      <w:r w:rsidR="005D28C8" w:rsidRPr="004F24F9">
        <w:rPr>
          <w:rFonts w:cs="Times New Roman"/>
          <w:bCs/>
          <w:sz w:val="24"/>
          <w:szCs w:val="24"/>
        </w:rPr>
        <w:t>tỉ</w:t>
      </w:r>
      <w:r w:rsidRPr="004F24F9">
        <w:rPr>
          <w:rFonts w:cs="Times New Roman"/>
          <w:bCs/>
          <w:sz w:val="24"/>
          <w:szCs w:val="24"/>
        </w:rPr>
        <w:t xml:space="preserve"> trọng thấp nhất trong cơ cấu nguồn vốn từ ngân sách Nhà nước với </w:t>
      </w:r>
      <w:r w:rsidR="005D28C8" w:rsidRPr="004F24F9">
        <w:rPr>
          <w:rFonts w:cs="Times New Roman"/>
          <w:bCs/>
          <w:sz w:val="24"/>
          <w:szCs w:val="24"/>
        </w:rPr>
        <w:t>tỉ</w:t>
      </w:r>
      <w:r w:rsidRPr="004F24F9">
        <w:rPr>
          <w:rFonts w:cs="Times New Roman"/>
          <w:bCs/>
          <w:sz w:val="24"/>
          <w:szCs w:val="24"/>
        </w:rPr>
        <w:t xml:space="preserve"> trọng tăng trưởng trung bình khoảng </w:t>
      </w:r>
      <w:r w:rsidRPr="004F24F9">
        <w:rPr>
          <w:rFonts w:cs="Times New Roman"/>
          <w:bCs/>
          <w:sz w:val="24"/>
          <w:szCs w:val="24"/>
        </w:rPr>
        <w:lastRenderedPageBreak/>
        <w:t xml:space="preserve">16%. Từ năm 2019 đến 2023, thấp nhất là năm 2023 với </w:t>
      </w:r>
      <w:r w:rsidR="005D28C8" w:rsidRPr="004F24F9">
        <w:rPr>
          <w:rFonts w:cs="Times New Roman"/>
          <w:bCs/>
          <w:sz w:val="24"/>
          <w:szCs w:val="24"/>
        </w:rPr>
        <w:t>tỉ</w:t>
      </w:r>
      <w:r w:rsidRPr="004F24F9">
        <w:rPr>
          <w:rFonts w:cs="Times New Roman"/>
          <w:bCs/>
          <w:sz w:val="24"/>
          <w:szCs w:val="24"/>
        </w:rPr>
        <w:t xml:space="preserve"> trọng 14,26%, cao nhất là năm 2021 với </w:t>
      </w:r>
      <w:r w:rsidR="005D28C8" w:rsidRPr="004F24F9">
        <w:rPr>
          <w:rFonts w:cs="Times New Roman"/>
          <w:bCs/>
          <w:sz w:val="24"/>
          <w:szCs w:val="24"/>
        </w:rPr>
        <w:t>tỉ</w:t>
      </w:r>
      <w:r w:rsidRPr="004F24F9">
        <w:rPr>
          <w:rFonts w:cs="Times New Roman"/>
          <w:bCs/>
          <w:sz w:val="24"/>
          <w:szCs w:val="24"/>
        </w:rPr>
        <w:t xml:space="preserve"> trọng là </w:t>
      </w:r>
      <w:r w:rsidRPr="004F24F9">
        <w:rPr>
          <w:rFonts w:cs="Times New Roman"/>
          <w:sz w:val="24"/>
          <w:szCs w:val="24"/>
        </w:rPr>
        <w:t>17,64%.</w:t>
      </w:r>
    </w:p>
    <w:p w14:paraId="3BBB9CDA" w14:textId="4EC78403" w:rsidR="009E4C91" w:rsidRPr="004F24F9" w:rsidRDefault="009E4C91" w:rsidP="009327C3">
      <w:pPr>
        <w:widowControl w:val="0"/>
        <w:spacing w:line="320" w:lineRule="exact"/>
        <w:ind w:firstLine="397"/>
        <w:jc w:val="both"/>
        <w:rPr>
          <w:rFonts w:cs="Times New Roman"/>
          <w:bCs/>
          <w:sz w:val="24"/>
          <w:szCs w:val="24"/>
        </w:rPr>
      </w:pPr>
      <w:r w:rsidRPr="004F24F9">
        <w:rPr>
          <w:rFonts w:cs="Times New Roman"/>
          <w:sz w:val="24"/>
          <w:szCs w:val="24"/>
        </w:rPr>
        <w:t>Nguồn vốn được trung Trung ương cấp bù lãi là nguồn vốn xã hội hóa từ các tổ chức, doanh nghiệp và người dân tại Đồng Nai nh</w:t>
      </w:r>
      <w:r w:rsidR="00155B32" w:rsidRPr="004F24F9">
        <w:rPr>
          <w:rFonts w:cs="Times New Roman"/>
          <w:sz w:val="24"/>
          <w:szCs w:val="24"/>
        </w:rPr>
        <w:t>ư</w:t>
      </w:r>
      <w:r w:rsidRPr="004F24F9">
        <w:rPr>
          <w:rFonts w:cs="Times New Roman"/>
          <w:sz w:val="24"/>
          <w:szCs w:val="24"/>
        </w:rPr>
        <w:t xml:space="preserve">ng có </w:t>
      </w:r>
      <w:r w:rsidR="005D28C8" w:rsidRPr="004F24F9">
        <w:rPr>
          <w:rFonts w:cs="Times New Roman"/>
          <w:sz w:val="24"/>
          <w:szCs w:val="24"/>
        </w:rPr>
        <w:t>tỉ</w:t>
      </w:r>
      <w:r w:rsidRPr="004F24F9">
        <w:rPr>
          <w:rFonts w:cs="Times New Roman"/>
          <w:sz w:val="24"/>
          <w:szCs w:val="24"/>
        </w:rPr>
        <w:t xml:space="preserve"> lệ còn thấp so với tiềm năng huy động tại địa phương. Việc thiếu các chính sách khuyến khích hoặc các sản phẩm tài chính phù hợp để thu hút nguồn vốn này khiến ngân hàng chưa tận dụng hiệu quả nguồn lực xã hội. Điều này đặt ra thách thức lớn khi nhu cầu vay vốn ưu đãi ngày càng tăng trong các đối tượng như hộ nghèo và hộ kinh doanh. Nguồn vốn ủy thác từ chính quyền địa phương tuy đã được tăng cường nhưng vẫn chưa đủ để bù đắp sự thiếu hụt vốn từ Trung ương. Vì thế, việc tìm kiếm các nguồn xã hội hóa khi địa phương còn gặp khó khăn trong việc cân đối ngân sách và </w:t>
      </w:r>
      <w:r w:rsidRPr="004F24F9">
        <w:rPr>
          <w:rFonts w:cs="Times New Roman"/>
          <w:sz w:val="24"/>
          <w:szCs w:val="24"/>
        </w:rPr>
        <w:lastRenderedPageBreak/>
        <w:t xml:space="preserve">ưu tiên các chương trình ủy thác, dẫn đến hạn chế về mức độ tham gia. Thực trạng này làm giảm khả năng tiếp cận tín dụng của các đối tượng cần hỗ trợ như hộ nghèo, sinh viên và tạo việc làm. </w:t>
      </w:r>
    </w:p>
    <w:bookmarkStart w:id="13" w:name="_Hlk178696287"/>
    <w:bookmarkEnd w:id="9"/>
    <w:bookmarkEnd w:id="10"/>
    <w:bookmarkEnd w:id="11"/>
    <w:bookmarkEnd w:id="12"/>
    <w:p w14:paraId="277D1D54" w14:textId="0DE9D6AA" w:rsidR="009E4C91" w:rsidRPr="004F24F9" w:rsidRDefault="00172E51" w:rsidP="009327C3">
      <w:pPr>
        <w:widowControl w:val="0"/>
        <w:spacing w:line="320" w:lineRule="exact"/>
        <w:ind w:firstLine="397"/>
        <w:jc w:val="both"/>
        <w:rPr>
          <w:rFonts w:cs="Times New Roman"/>
          <w:sz w:val="24"/>
          <w:szCs w:val="24"/>
          <w:lang w:val="es-ES"/>
        </w:rPr>
      </w:pPr>
      <w:r w:rsidRPr="004F24F9">
        <w:fldChar w:fldCharType="begin"/>
      </w:r>
      <w:r w:rsidRPr="004F24F9">
        <w:instrText xml:space="preserve"> HYPERLINK \l "_Toc532799343" </w:instrText>
      </w:r>
      <w:r w:rsidRPr="004F24F9">
        <w:fldChar w:fldCharType="separate"/>
      </w:r>
      <w:r w:rsidR="009E4C91" w:rsidRPr="004F24F9">
        <w:rPr>
          <w:rFonts w:cs="Times New Roman"/>
          <w:i/>
          <w:sz w:val="24"/>
          <w:szCs w:val="24"/>
          <w:lang w:val="es-ES"/>
        </w:rPr>
        <w:t>N</w:t>
      </w:r>
      <w:r w:rsidR="009E4C91" w:rsidRPr="004F24F9">
        <w:rPr>
          <w:rFonts w:cs="Times New Roman"/>
          <w:i/>
          <w:iCs/>
          <w:sz w:val="24"/>
          <w:szCs w:val="24"/>
          <w:lang w:val="es-ES"/>
        </w:rPr>
        <w:t>guồn vốn nhận ủy thác từ ngân sách địa phương</w:t>
      </w:r>
      <w:r w:rsidRPr="004F24F9">
        <w:rPr>
          <w:rFonts w:cs="Times New Roman"/>
          <w:i/>
          <w:iCs/>
          <w:sz w:val="24"/>
          <w:szCs w:val="24"/>
          <w:lang w:val="es-ES"/>
        </w:rPr>
        <w:fldChar w:fldCharType="end"/>
      </w:r>
      <w:r w:rsidR="00484843" w:rsidRPr="004F24F9">
        <w:rPr>
          <w:rFonts w:cs="Times New Roman"/>
          <w:i/>
          <w:iCs/>
          <w:sz w:val="24"/>
          <w:szCs w:val="24"/>
          <w:lang w:val="es-ES"/>
        </w:rPr>
        <w:t>:</w:t>
      </w:r>
    </w:p>
    <w:p w14:paraId="05DAF9F5" w14:textId="56C409B0" w:rsidR="009E4C91" w:rsidRPr="004F24F9" w:rsidRDefault="009E4C91" w:rsidP="009327C3">
      <w:pPr>
        <w:widowControl w:val="0"/>
        <w:shd w:val="clear" w:color="auto" w:fill="FFFFFF"/>
        <w:spacing w:line="320" w:lineRule="exact"/>
        <w:ind w:firstLine="397"/>
        <w:jc w:val="both"/>
        <w:rPr>
          <w:rFonts w:cs="Times New Roman"/>
          <w:spacing w:val="-2"/>
          <w:sz w:val="24"/>
          <w:szCs w:val="24"/>
          <w:lang w:val="es-ES"/>
        </w:rPr>
      </w:pPr>
      <w:bookmarkStart w:id="14" w:name="_Toc100605045"/>
      <w:bookmarkStart w:id="15" w:name="_Toc100605154"/>
      <w:bookmarkStart w:id="16" w:name="_Toc100605271"/>
      <w:r w:rsidRPr="004F24F9">
        <w:rPr>
          <w:rFonts w:cs="Times New Roman"/>
          <w:spacing w:val="-2"/>
          <w:sz w:val="24"/>
          <w:szCs w:val="24"/>
          <w:lang w:val="es-ES"/>
        </w:rPr>
        <w:t xml:space="preserve">Ngay sau khi Ban Bí thư </w:t>
      </w:r>
      <w:r w:rsidR="008F191D" w:rsidRPr="004F24F9">
        <w:rPr>
          <w:rFonts w:cs="Times New Roman"/>
          <w:iCs/>
          <w:sz w:val="24"/>
          <w:szCs w:val="24"/>
          <w:lang w:val="en-US"/>
        </w:rPr>
        <w:t>Trung ương</w:t>
      </w:r>
      <w:r w:rsidRPr="004F24F9">
        <w:rPr>
          <w:rFonts w:cs="Times New Roman"/>
          <w:spacing w:val="-2"/>
          <w:sz w:val="24"/>
          <w:szCs w:val="24"/>
          <w:lang w:val="es-ES"/>
        </w:rPr>
        <w:t xml:space="preserve"> Đảng ban hành Chỉ thị số 40-CT/TW ngày 22/11/2014 về sự tăng cường lãnh đạo của Đảng đối với tín dụng chính sách xã hội, nguồn vốn ngân sách địa phương các cấp ủy thác sang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pacing w:val="-2"/>
          <w:sz w:val="24"/>
          <w:szCs w:val="24"/>
          <w:lang w:val="es-ES"/>
        </w:rPr>
        <w:t xml:space="preserve"> tăng lên mạnh mẽ, đặc biệt đến giai đoạn này ngân sách các quận, huyện bắt đầu chuyển vốn sang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pacing w:val="-2"/>
          <w:sz w:val="24"/>
          <w:szCs w:val="24"/>
          <w:lang w:val="es-ES"/>
        </w:rPr>
        <w:t xml:space="preserve"> để cho vay các đối tượng đặc thù của địa phương. Qua 5 năm (201</w:t>
      </w:r>
      <w:r w:rsidR="00155B32" w:rsidRPr="004F24F9">
        <w:rPr>
          <w:rFonts w:cs="Times New Roman"/>
          <w:spacing w:val="-2"/>
          <w:sz w:val="24"/>
          <w:szCs w:val="24"/>
          <w:lang w:val="es-ES"/>
        </w:rPr>
        <w:t>9-2023</w:t>
      </w:r>
      <w:r w:rsidRPr="004F24F9">
        <w:rPr>
          <w:rFonts w:cs="Times New Roman"/>
          <w:spacing w:val="-2"/>
          <w:sz w:val="24"/>
          <w:szCs w:val="24"/>
          <w:lang w:val="es-ES"/>
        </w:rPr>
        <w:t xml:space="preserve">) nguồn vốn này chiếm </w:t>
      </w:r>
      <w:r w:rsidR="005D28C8" w:rsidRPr="004F24F9">
        <w:rPr>
          <w:rFonts w:cs="Times New Roman"/>
          <w:spacing w:val="-2"/>
          <w:sz w:val="24"/>
          <w:szCs w:val="24"/>
          <w:lang w:val="es-ES"/>
        </w:rPr>
        <w:t>tỉ</w:t>
      </w:r>
      <w:r w:rsidRPr="004F24F9">
        <w:rPr>
          <w:rFonts w:cs="Times New Roman"/>
          <w:spacing w:val="-2"/>
          <w:sz w:val="24"/>
          <w:szCs w:val="24"/>
          <w:lang w:val="es-ES"/>
        </w:rPr>
        <w:t xml:space="preserve"> trọng bình quân 21,8% trong cơ cấu nguồn vốn tại NHCSXH tỉnh Đồ</w:t>
      </w:r>
      <w:r w:rsidR="005D28C8" w:rsidRPr="004F24F9">
        <w:rPr>
          <w:rFonts w:cs="Times New Roman"/>
          <w:spacing w:val="-2"/>
          <w:sz w:val="24"/>
          <w:szCs w:val="24"/>
          <w:lang w:val="es-ES"/>
        </w:rPr>
        <w:t>ng Nai. Hằ</w:t>
      </w:r>
      <w:r w:rsidRPr="004F24F9">
        <w:rPr>
          <w:rFonts w:cs="Times New Roman"/>
          <w:spacing w:val="-2"/>
          <w:sz w:val="24"/>
          <w:szCs w:val="24"/>
          <w:lang w:val="es-ES"/>
        </w:rPr>
        <w:t>ng năm, nguồn vốn này đều tăng theo hướng năm sau cao hơn năm trước. Năm 201</w:t>
      </w:r>
      <w:r w:rsidR="00155B32" w:rsidRPr="004F24F9">
        <w:rPr>
          <w:rFonts w:cs="Times New Roman"/>
          <w:spacing w:val="-2"/>
          <w:sz w:val="24"/>
          <w:szCs w:val="24"/>
          <w:lang w:val="es-ES"/>
        </w:rPr>
        <w:t>9</w:t>
      </w:r>
      <w:r w:rsidRPr="004F24F9">
        <w:rPr>
          <w:rFonts w:cs="Times New Roman"/>
          <w:spacing w:val="-2"/>
          <w:sz w:val="24"/>
          <w:szCs w:val="24"/>
          <w:lang w:val="es-ES"/>
        </w:rPr>
        <w:t xml:space="preserve"> số vốn này là 442.784 triệu đồng, chiếm </w:t>
      </w:r>
      <w:r w:rsidRPr="004F24F9">
        <w:rPr>
          <w:rFonts w:cs="Times New Roman"/>
          <w:sz w:val="24"/>
          <w:szCs w:val="24"/>
        </w:rPr>
        <w:t>17,47</w:t>
      </w:r>
      <w:r w:rsidRPr="004F24F9">
        <w:rPr>
          <w:rFonts w:cs="Times New Roman"/>
          <w:spacing w:val="-2"/>
          <w:sz w:val="24"/>
          <w:szCs w:val="24"/>
          <w:lang w:val="es-ES"/>
        </w:rPr>
        <w:t>% cơ cấu vố</w:t>
      </w:r>
      <w:r w:rsidR="00155B32" w:rsidRPr="004F24F9">
        <w:rPr>
          <w:rFonts w:cs="Times New Roman"/>
          <w:spacing w:val="-2"/>
          <w:sz w:val="24"/>
          <w:szCs w:val="24"/>
          <w:lang w:val="es-ES"/>
        </w:rPr>
        <w:t>n ngân sách. Năm 2020</w:t>
      </w:r>
      <w:r w:rsidRPr="004F24F9">
        <w:rPr>
          <w:rFonts w:cs="Times New Roman"/>
          <w:spacing w:val="-2"/>
          <w:sz w:val="24"/>
          <w:szCs w:val="24"/>
          <w:lang w:val="es-ES"/>
        </w:rPr>
        <w:t xml:space="preserve"> là 591.201 triệu đồng, chiếm 20,69% cơ cấu vốn ngân sách. Năm 202</w:t>
      </w:r>
      <w:r w:rsidR="00155B32" w:rsidRPr="004F24F9">
        <w:rPr>
          <w:rFonts w:cs="Times New Roman"/>
          <w:spacing w:val="-2"/>
          <w:sz w:val="24"/>
          <w:szCs w:val="24"/>
          <w:lang w:val="es-ES"/>
        </w:rPr>
        <w:t>1</w:t>
      </w:r>
      <w:r w:rsidRPr="004F24F9">
        <w:rPr>
          <w:rFonts w:cs="Times New Roman"/>
          <w:spacing w:val="-2"/>
          <w:sz w:val="24"/>
          <w:szCs w:val="24"/>
          <w:lang w:val="es-ES"/>
        </w:rPr>
        <w:t xml:space="preserve"> có số vốn ủy thác từ ngân sách địa phương là 575.346 triệu đồng, chiếm </w:t>
      </w:r>
      <w:r w:rsidR="005D28C8" w:rsidRPr="004F24F9">
        <w:rPr>
          <w:rFonts w:cs="Times New Roman"/>
          <w:spacing w:val="-2"/>
          <w:sz w:val="24"/>
          <w:szCs w:val="24"/>
          <w:lang w:val="es-ES"/>
        </w:rPr>
        <w:t>tỉ</w:t>
      </w:r>
      <w:r w:rsidRPr="004F24F9">
        <w:rPr>
          <w:rFonts w:cs="Times New Roman"/>
          <w:spacing w:val="-2"/>
          <w:sz w:val="24"/>
          <w:szCs w:val="24"/>
          <w:lang w:val="es-ES"/>
        </w:rPr>
        <w:t xml:space="preserve"> trọ</w:t>
      </w:r>
      <w:r w:rsidR="00155B32" w:rsidRPr="004F24F9">
        <w:rPr>
          <w:rFonts w:cs="Times New Roman"/>
          <w:spacing w:val="-2"/>
          <w:sz w:val="24"/>
          <w:szCs w:val="24"/>
          <w:lang w:val="es-ES"/>
        </w:rPr>
        <w:t>ng 21,14%. Năm 2022</w:t>
      </w:r>
      <w:r w:rsidRPr="004F24F9">
        <w:rPr>
          <w:rFonts w:cs="Times New Roman"/>
          <w:spacing w:val="-2"/>
          <w:sz w:val="24"/>
          <w:szCs w:val="24"/>
          <w:lang w:val="es-ES"/>
        </w:rPr>
        <w:t xml:space="preserve"> số vốn này là 1.004.378 triệu đồng, chiế</w:t>
      </w:r>
      <w:r w:rsidR="00155B32" w:rsidRPr="004F24F9">
        <w:rPr>
          <w:rFonts w:cs="Times New Roman"/>
          <w:spacing w:val="-2"/>
          <w:sz w:val="24"/>
          <w:szCs w:val="24"/>
          <w:lang w:val="es-ES"/>
        </w:rPr>
        <w:t>m 24,94%. Năm 2023</w:t>
      </w:r>
      <w:r w:rsidRPr="004F24F9">
        <w:rPr>
          <w:rFonts w:cs="Times New Roman"/>
          <w:spacing w:val="-2"/>
          <w:sz w:val="24"/>
          <w:szCs w:val="24"/>
          <w:lang w:val="es-ES"/>
        </w:rPr>
        <w:t xml:space="preserve"> số vốn ủy thác từ ngân sách tỉnh tăng lên 1.238.907 triệu đồng, đạt 24,84%. Từ năm 201</w:t>
      </w:r>
      <w:r w:rsidR="00155B32" w:rsidRPr="004F24F9">
        <w:rPr>
          <w:rFonts w:cs="Times New Roman"/>
          <w:spacing w:val="-2"/>
          <w:sz w:val="24"/>
          <w:szCs w:val="24"/>
          <w:lang w:val="es-ES"/>
        </w:rPr>
        <w:t>9</w:t>
      </w:r>
      <w:r w:rsidRPr="004F24F9">
        <w:rPr>
          <w:rFonts w:cs="Times New Roman"/>
          <w:spacing w:val="-2"/>
          <w:sz w:val="24"/>
          <w:szCs w:val="24"/>
          <w:lang w:val="es-ES"/>
        </w:rPr>
        <w:t xml:space="preserve"> đế</w:t>
      </w:r>
      <w:r w:rsidR="00155B32" w:rsidRPr="004F24F9">
        <w:rPr>
          <w:rFonts w:cs="Times New Roman"/>
          <w:spacing w:val="-2"/>
          <w:sz w:val="24"/>
          <w:szCs w:val="24"/>
          <w:lang w:val="es-ES"/>
        </w:rPr>
        <w:t>n 20</w:t>
      </w:r>
      <w:r w:rsidRPr="004F24F9">
        <w:rPr>
          <w:rFonts w:cs="Times New Roman"/>
          <w:spacing w:val="-2"/>
          <w:sz w:val="24"/>
          <w:szCs w:val="24"/>
          <w:lang w:val="es-ES"/>
        </w:rPr>
        <w:t>2</w:t>
      </w:r>
      <w:r w:rsidR="00155B32" w:rsidRPr="004F24F9">
        <w:rPr>
          <w:rFonts w:cs="Times New Roman"/>
          <w:spacing w:val="-2"/>
          <w:sz w:val="24"/>
          <w:szCs w:val="24"/>
          <w:lang w:val="es-ES"/>
        </w:rPr>
        <w:t>3</w:t>
      </w:r>
      <w:r w:rsidRPr="004F24F9">
        <w:rPr>
          <w:rFonts w:cs="Times New Roman"/>
          <w:spacing w:val="-2"/>
          <w:sz w:val="24"/>
          <w:szCs w:val="24"/>
          <w:lang w:val="es-ES"/>
        </w:rPr>
        <w:t>, số vốn ủy thác từ ngân sách địa phương đã tăng lên gấp 2,8 lần (</w:t>
      </w:r>
      <w:r w:rsidR="00997613" w:rsidRPr="004F24F9">
        <w:rPr>
          <w:rFonts w:cs="Times New Roman"/>
          <w:spacing w:val="-2"/>
          <w:sz w:val="24"/>
          <w:szCs w:val="24"/>
          <w:lang w:val="es-ES"/>
        </w:rPr>
        <w:t>b</w:t>
      </w:r>
      <w:r w:rsidRPr="004F24F9">
        <w:rPr>
          <w:rFonts w:cs="Times New Roman"/>
          <w:spacing w:val="-2"/>
          <w:sz w:val="24"/>
          <w:szCs w:val="24"/>
          <w:lang w:val="es-ES"/>
        </w:rPr>
        <w:t>ả</w:t>
      </w:r>
      <w:r w:rsidR="00997613" w:rsidRPr="004F24F9">
        <w:rPr>
          <w:rFonts w:cs="Times New Roman"/>
          <w:spacing w:val="-2"/>
          <w:sz w:val="24"/>
          <w:szCs w:val="24"/>
          <w:lang w:val="es-ES"/>
        </w:rPr>
        <w:t xml:space="preserve">ng </w:t>
      </w:r>
      <w:r w:rsidRPr="004F24F9">
        <w:rPr>
          <w:rFonts w:cs="Times New Roman"/>
          <w:spacing w:val="-2"/>
          <w:sz w:val="24"/>
          <w:szCs w:val="24"/>
          <w:lang w:val="es-ES"/>
        </w:rPr>
        <w:t>3).</w:t>
      </w:r>
    </w:p>
    <w:p w14:paraId="3CB3E8B2" w14:textId="5F8F8603" w:rsidR="009E4C91" w:rsidRPr="004F24F9" w:rsidRDefault="005D28C8" w:rsidP="009327C3">
      <w:pPr>
        <w:spacing w:line="320" w:lineRule="exact"/>
        <w:ind w:firstLine="397"/>
        <w:jc w:val="both"/>
        <w:rPr>
          <w:rFonts w:cs="Times New Roman"/>
          <w:spacing w:val="-2"/>
          <w:sz w:val="24"/>
          <w:szCs w:val="24"/>
        </w:rPr>
      </w:pPr>
      <w:bookmarkStart w:id="17" w:name="_Toc182080864"/>
      <w:bookmarkStart w:id="18" w:name="_Toc182080851"/>
      <w:bookmarkEnd w:id="14"/>
      <w:bookmarkEnd w:id="15"/>
      <w:bookmarkEnd w:id="16"/>
      <w:r w:rsidRPr="004F24F9">
        <w:rPr>
          <w:rFonts w:cs="Times New Roman"/>
          <w:spacing w:val="-2"/>
          <w:sz w:val="24"/>
          <w:szCs w:val="24"/>
        </w:rPr>
        <w:t>Tỉ</w:t>
      </w:r>
      <w:r w:rsidR="009E4C91" w:rsidRPr="004F24F9">
        <w:rPr>
          <w:rFonts w:cs="Times New Roman"/>
          <w:spacing w:val="-2"/>
          <w:sz w:val="24"/>
          <w:szCs w:val="24"/>
        </w:rPr>
        <w:t xml:space="preserve"> trọng nguồn vốn ủy thác từ ngân sách địa phương trong tổng nguồn vốn tín dụng chính sách xã hội tại tỉnh Đồng Nai </w:t>
      </w:r>
      <w:r w:rsidR="009E4C91" w:rsidRPr="004F24F9">
        <w:rPr>
          <w:rFonts w:cs="Times New Roman"/>
          <w:spacing w:val="-2"/>
          <w:sz w:val="24"/>
          <w:szCs w:val="24"/>
        </w:rPr>
        <w:lastRenderedPageBreak/>
        <w:t xml:space="preserve">dù gia tăng nhưng vẫn còn hạn chế so với nhu cầu thực tế. </w:t>
      </w:r>
      <w:r w:rsidR="009E4C91" w:rsidRPr="004F24F9">
        <w:rPr>
          <w:rFonts w:cs="Times New Roman"/>
          <w:spacing w:val="-2"/>
          <w:sz w:val="24"/>
          <w:szCs w:val="24"/>
          <w:lang w:val="es-ES"/>
        </w:rPr>
        <w:t>Số vốn ủy thác từ ngân sách địa phương ngày càng tăng nhưng vẫn còn khá thấp trong cơ cấu vốn giữa trung ương và địa phương (từ bả</w:t>
      </w:r>
      <w:r w:rsidR="00155B32" w:rsidRPr="004F24F9">
        <w:rPr>
          <w:rFonts w:cs="Times New Roman"/>
          <w:spacing w:val="-2"/>
          <w:sz w:val="24"/>
          <w:szCs w:val="24"/>
          <w:lang w:val="es-ES"/>
        </w:rPr>
        <w:t xml:space="preserve">ng </w:t>
      </w:r>
      <w:r w:rsidR="009E4C91" w:rsidRPr="004F24F9">
        <w:rPr>
          <w:rFonts w:cs="Times New Roman"/>
          <w:spacing w:val="-2"/>
          <w:sz w:val="24"/>
          <w:szCs w:val="24"/>
          <w:lang w:val="es-ES"/>
        </w:rPr>
        <w:t xml:space="preserve">3 cho thấy cơ cấu vốn trung bình từ ngân sách tỉnh chỉ khoảng 20%/năm). </w:t>
      </w:r>
      <w:r w:rsidRPr="004F24F9">
        <w:rPr>
          <w:rFonts w:cs="Times New Roman"/>
          <w:spacing w:val="-2"/>
          <w:sz w:val="24"/>
          <w:szCs w:val="24"/>
        </w:rPr>
        <w:t>Tỉ</w:t>
      </w:r>
      <w:r w:rsidR="009E4C91" w:rsidRPr="004F24F9">
        <w:rPr>
          <w:rFonts w:cs="Times New Roman"/>
          <w:spacing w:val="-2"/>
          <w:sz w:val="24"/>
          <w:szCs w:val="24"/>
        </w:rPr>
        <w:t xml:space="preserve"> trọng nguồn vốn chưa tương xứng đã làm chậm quá trình mở rộng tín dụng chính sách, ảnh hưởng đến hiệu quả phát triển kinh tế xã hội địa phương. </w:t>
      </w:r>
      <w:r w:rsidR="009E4C91" w:rsidRPr="004F24F9">
        <w:rPr>
          <w:rFonts w:cs="Times New Roman"/>
          <w:spacing w:val="-2"/>
          <w:sz w:val="24"/>
          <w:szCs w:val="24"/>
          <w:lang w:val="es-ES"/>
        </w:rPr>
        <w:t xml:space="preserve">Điều đó cho thấy tỉnh cần quan tâm nhiều hơn nữa đến công tác ủy thác vốn ngân sách sang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009E4C91" w:rsidRPr="004F24F9">
        <w:rPr>
          <w:rFonts w:cs="Times New Roman"/>
          <w:spacing w:val="-2"/>
          <w:sz w:val="24"/>
          <w:szCs w:val="24"/>
          <w:lang w:val="es-ES"/>
        </w:rPr>
        <w:t xml:space="preserve"> để cho vay người nghèo và các đối tượng chính sách khác. </w:t>
      </w:r>
    </w:p>
    <w:p w14:paraId="65FE048E" w14:textId="646FA386" w:rsidR="00104131" w:rsidRPr="004F24F9" w:rsidRDefault="009E4C91" w:rsidP="009327C3">
      <w:pPr>
        <w:spacing w:line="320" w:lineRule="exact"/>
        <w:ind w:firstLine="397"/>
        <w:jc w:val="both"/>
        <w:rPr>
          <w:rFonts w:cs="Times New Roman"/>
          <w:spacing w:val="-4"/>
          <w:sz w:val="24"/>
          <w:szCs w:val="24"/>
        </w:rPr>
        <w:sectPr w:rsidR="00104131" w:rsidRPr="004F24F9" w:rsidSect="00104131">
          <w:type w:val="continuous"/>
          <w:pgSz w:w="11057" w:h="15593" w:code="9"/>
          <w:pgMar w:top="1418" w:right="1418" w:bottom="1418" w:left="1418" w:header="964" w:footer="851" w:gutter="0"/>
          <w:cols w:num="2" w:space="454"/>
          <w:docGrid w:linePitch="381"/>
        </w:sectPr>
      </w:pPr>
      <w:r w:rsidRPr="004F24F9">
        <w:rPr>
          <w:rFonts w:cs="Times New Roman"/>
          <w:spacing w:val="-4"/>
          <w:sz w:val="24"/>
          <w:szCs w:val="24"/>
          <w:lang w:val="es-ES"/>
        </w:rPr>
        <w:t>Vốn ủy thác từ ngân sách tỉnh cũng còn ít so với thu và chi ngân sách của tỉnh. Qua bả</w:t>
      </w:r>
      <w:r w:rsidR="00997613" w:rsidRPr="004F24F9">
        <w:rPr>
          <w:rFonts w:cs="Times New Roman"/>
          <w:spacing w:val="-4"/>
          <w:sz w:val="24"/>
          <w:szCs w:val="24"/>
          <w:lang w:val="es-ES"/>
        </w:rPr>
        <w:t xml:space="preserve">ng </w:t>
      </w:r>
      <w:r w:rsidRPr="004F24F9">
        <w:rPr>
          <w:rFonts w:cs="Times New Roman"/>
          <w:spacing w:val="-4"/>
          <w:sz w:val="24"/>
          <w:szCs w:val="24"/>
          <w:lang w:val="es-ES"/>
        </w:rPr>
        <w:t>4 cho thấy thu và chi ngân sách của tỉnh có giảm đi trong những năm gần đây do ảnh hưởng của dịch COVID-19 và những biến động của tình hình thế giới</w:t>
      </w:r>
      <w:r w:rsidR="00155B32" w:rsidRPr="004F24F9">
        <w:rPr>
          <w:rFonts w:cs="Times New Roman"/>
          <w:spacing w:val="-4"/>
          <w:sz w:val="24"/>
          <w:szCs w:val="24"/>
          <w:lang w:val="es-ES"/>
        </w:rPr>
        <w:t>,</w:t>
      </w:r>
      <w:r w:rsidRPr="004F24F9">
        <w:rPr>
          <w:rFonts w:cs="Times New Roman"/>
          <w:spacing w:val="-4"/>
          <w:sz w:val="24"/>
          <w:szCs w:val="24"/>
          <w:lang w:val="es-ES"/>
        </w:rPr>
        <w:t xml:space="preserve"> trong nước nhưng nguồn vốn ủy thác vẫn còn khá khiêm tốn so với tổng thu và chi ngân sách. Chẳng hạn, năm 2019, tổng thu ngân sách là </w:t>
      </w:r>
      <w:r w:rsidRPr="004F24F9">
        <w:rPr>
          <w:rFonts w:cs="Times New Roman"/>
          <w:spacing w:val="-4"/>
          <w:sz w:val="24"/>
          <w:szCs w:val="24"/>
        </w:rPr>
        <w:t>86.426,3</w:t>
      </w:r>
      <w:r w:rsidRPr="004F24F9">
        <w:rPr>
          <w:rFonts w:cs="Times New Roman"/>
          <w:spacing w:val="-4"/>
          <w:sz w:val="24"/>
          <w:szCs w:val="24"/>
          <w:lang w:val="es-ES"/>
        </w:rPr>
        <w:t xml:space="preserve"> </w:t>
      </w:r>
      <w:r w:rsidR="005D28C8" w:rsidRPr="004F24F9">
        <w:rPr>
          <w:rFonts w:cs="Times New Roman"/>
          <w:spacing w:val="-4"/>
          <w:sz w:val="24"/>
          <w:szCs w:val="24"/>
          <w:lang w:val="es-ES"/>
        </w:rPr>
        <w:t>tỉ</w:t>
      </w:r>
      <w:r w:rsidRPr="004F24F9">
        <w:rPr>
          <w:rFonts w:cs="Times New Roman"/>
          <w:spacing w:val="-4"/>
          <w:sz w:val="24"/>
          <w:szCs w:val="24"/>
          <w:lang w:val="es-ES"/>
        </w:rPr>
        <w:t xml:space="preserve"> đồng, chi ngân sách là 61.014,1 </w:t>
      </w:r>
      <w:r w:rsidR="005D28C8" w:rsidRPr="004F24F9">
        <w:rPr>
          <w:rFonts w:cs="Times New Roman"/>
          <w:spacing w:val="-4"/>
          <w:sz w:val="24"/>
          <w:szCs w:val="24"/>
          <w:lang w:val="es-ES"/>
        </w:rPr>
        <w:t>tỉ</w:t>
      </w:r>
      <w:r w:rsidRPr="004F24F9">
        <w:rPr>
          <w:rFonts w:cs="Times New Roman"/>
          <w:spacing w:val="-4"/>
          <w:sz w:val="24"/>
          <w:szCs w:val="24"/>
          <w:lang w:val="es-ES"/>
        </w:rPr>
        <w:t xml:space="preserve"> đồng nhưng nguồn vốn ủy thác chỉ có 442.784 triệu đồng, chiếm khoảng 0,5% thu ngân sách và chiếm khoảng 0,7% tổng chi ngân sách cùng năm. Năm 2023, mặc dù nguồn vốn ủy thác đã tăng lên với số vốn ủy thác </w:t>
      </w:r>
      <w:r w:rsidRPr="004F24F9">
        <w:rPr>
          <w:rFonts w:cs="Times New Roman"/>
          <w:spacing w:val="-4"/>
          <w:sz w:val="24"/>
          <w:szCs w:val="24"/>
        </w:rPr>
        <w:t xml:space="preserve">1.238.907 </w:t>
      </w:r>
      <w:r w:rsidR="005D28C8" w:rsidRPr="004F24F9">
        <w:rPr>
          <w:rFonts w:cs="Times New Roman"/>
          <w:spacing w:val="-4"/>
          <w:sz w:val="24"/>
          <w:szCs w:val="24"/>
        </w:rPr>
        <w:t>tỉ</w:t>
      </w:r>
      <w:r w:rsidRPr="004F24F9">
        <w:rPr>
          <w:rFonts w:cs="Times New Roman"/>
          <w:spacing w:val="-4"/>
          <w:sz w:val="24"/>
          <w:szCs w:val="24"/>
        </w:rPr>
        <w:t xml:space="preserve"> đồng sang bên NHCSXH tỉnh, là năm cố số vốn ủy thác cao nhất tính từ năm 2019 nhưng vẫn khá thấp so với thu và chi ngân sách, tưởng ứng khoảng 1,2% so với thu ngân sách và khoảng 2,6% so với chi ngân sách của tỉnh trong cùng năm 2023.</w:t>
      </w:r>
    </w:p>
    <w:p w14:paraId="6AA6B3FF" w14:textId="3455DEE7" w:rsidR="009E4C91" w:rsidRPr="004F24F9" w:rsidRDefault="009E4C91" w:rsidP="009327C3">
      <w:pPr>
        <w:spacing w:line="320" w:lineRule="exact"/>
        <w:ind w:firstLine="397"/>
        <w:jc w:val="center"/>
        <w:outlineLvl w:val="0"/>
        <w:rPr>
          <w:rFonts w:cs="Times New Roman"/>
          <w:bCs/>
          <w:i/>
          <w:sz w:val="26"/>
          <w:szCs w:val="26"/>
          <w:lang w:val="es-ES"/>
        </w:rPr>
      </w:pPr>
      <w:bookmarkStart w:id="19" w:name="_Toc184938646"/>
      <w:r w:rsidRPr="004F24F9">
        <w:rPr>
          <w:rFonts w:cs="Times New Roman"/>
          <w:b/>
          <w:bCs/>
          <w:sz w:val="24"/>
          <w:szCs w:val="24"/>
          <w:lang w:val="es-ES"/>
        </w:rPr>
        <w:lastRenderedPageBreak/>
        <w:t>Bả</w:t>
      </w:r>
      <w:r w:rsidR="00997613" w:rsidRPr="004F24F9">
        <w:rPr>
          <w:rFonts w:cs="Times New Roman"/>
          <w:b/>
          <w:bCs/>
          <w:sz w:val="24"/>
          <w:szCs w:val="24"/>
          <w:lang w:val="es-ES"/>
        </w:rPr>
        <w:t xml:space="preserve">ng </w:t>
      </w:r>
      <w:r w:rsidRPr="004F24F9">
        <w:rPr>
          <w:rFonts w:cs="Times New Roman"/>
          <w:b/>
          <w:bCs/>
          <w:sz w:val="24"/>
          <w:szCs w:val="24"/>
          <w:lang w:val="es-ES"/>
        </w:rPr>
        <w:t>4</w:t>
      </w:r>
      <w:r w:rsidR="00104131" w:rsidRPr="004F24F9">
        <w:rPr>
          <w:rFonts w:cs="Times New Roman"/>
          <w:b/>
          <w:bCs/>
          <w:sz w:val="24"/>
          <w:szCs w:val="24"/>
          <w:lang w:val="es-ES"/>
        </w:rPr>
        <w:t>:</w:t>
      </w:r>
      <w:r w:rsidRPr="004F24F9">
        <w:rPr>
          <w:rFonts w:cs="Times New Roman"/>
          <w:b/>
          <w:bCs/>
          <w:sz w:val="24"/>
          <w:szCs w:val="24"/>
          <w:lang w:val="es-ES"/>
        </w:rPr>
        <w:t xml:space="preserve"> </w:t>
      </w:r>
      <w:r w:rsidRPr="004F24F9">
        <w:rPr>
          <w:rFonts w:cs="Times New Roman"/>
          <w:bCs/>
          <w:i/>
          <w:sz w:val="24"/>
          <w:szCs w:val="24"/>
          <w:lang w:val="es-ES"/>
        </w:rPr>
        <w:t>Vốn ủy thác từ ngân sách địa phương so với tổng thu và chi ngân sách tỉnh Đồng Nai giai đoạn 2019-2023</w:t>
      </w:r>
      <w:bookmarkEnd w:id="19"/>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84"/>
        <w:gridCol w:w="1276"/>
        <w:gridCol w:w="1559"/>
        <w:gridCol w:w="1134"/>
        <w:gridCol w:w="1417"/>
      </w:tblGrid>
      <w:tr w:rsidR="004F24F9" w:rsidRPr="004F24F9" w14:paraId="761415E0" w14:textId="77777777" w:rsidTr="009327C3">
        <w:trPr>
          <w:trHeight w:val="510"/>
          <w:tblHeader/>
          <w:jc w:val="center"/>
        </w:trPr>
        <w:tc>
          <w:tcPr>
            <w:tcW w:w="1363" w:type="dxa"/>
            <w:tcBorders>
              <w:top w:val="single" w:sz="4" w:space="0" w:color="auto"/>
            </w:tcBorders>
            <w:vAlign w:val="center"/>
          </w:tcPr>
          <w:p w14:paraId="185439F2" w14:textId="77777777" w:rsidR="009E4C91" w:rsidRPr="004F24F9" w:rsidRDefault="009E4C91" w:rsidP="00544ACE">
            <w:pPr>
              <w:jc w:val="center"/>
              <w:rPr>
                <w:rFonts w:cs="Times New Roman"/>
                <w:b/>
                <w:bCs/>
                <w:sz w:val="22"/>
              </w:rPr>
            </w:pPr>
          </w:p>
        </w:tc>
        <w:tc>
          <w:tcPr>
            <w:tcW w:w="1184" w:type="dxa"/>
            <w:tcBorders>
              <w:top w:val="single" w:sz="4" w:space="0" w:color="auto"/>
            </w:tcBorders>
            <w:shd w:val="clear" w:color="auto" w:fill="auto"/>
            <w:vAlign w:val="center"/>
          </w:tcPr>
          <w:p w14:paraId="723FB980" w14:textId="77777777" w:rsidR="009E4C91" w:rsidRPr="004F24F9" w:rsidRDefault="009E4C91" w:rsidP="00544ACE">
            <w:pPr>
              <w:jc w:val="center"/>
              <w:rPr>
                <w:rFonts w:cs="Times New Roman"/>
                <w:b/>
                <w:bCs/>
                <w:sz w:val="22"/>
              </w:rPr>
            </w:pPr>
            <w:r w:rsidRPr="004F24F9">
              <w:rPr>
                <w:rFonts w:cs="Times New Roman"/>
                <w:b/>
                <w:bCs/>
                <w:sz w:val="22"/>
              </w:rPr>
              <w:t>2019</w:t>
            </w:r>
          </w:p>
        </w:tc>
        <w:tc>
          <w:tcPr>
            <w:tcW w:w="1276" w:type="dxa"/>
            <w:tcBorders>
              <w:top w:val="single" w:sz="4" w:space="0" w:color="auto"/>
            </w:tcBorders>
            <w:shd w:val="clear" w:color="auto" w:fill="auto"/>
            <w:vAlign w:val="center"/>
          </w:tcPr>
          <w:p w14:paraId="11BC535F" w14:textId="77777777" w:rsidR="009E4C91" w:rsidRPr="004F24F9" w:rsidRDefault="009E4C91" w:rsidP="00544ACE">
            <w:pPr>
              <w:jc w:val="center"/>
              <w:rPr>
                <w:rFonts w:cs="Times New Roman"/>
                <w:b/>
                <w:bCs/>
                <w:sz w:val="22"/>
              </w:rPr>
            </w:pPr>
            <w:r w:rsidRPr="004F24F9">
              <w:rPr>
                <w:rFonts w:cs="Times New Roman"/>
                <w:b/>
                <w:bCs/>
                <w:sz w:val="22"/>
              </w:rPr>
              <w:t>2020</w:t>
            </w:r>
          </w:p>
        </w:tc>
        <w:tc>
          <w:tcPr>
            <w:tcW w:w="1559" w:type="dxa"/>
            <w:tcBorders>
              <w:top w:val="single" w:sz="4" w:space="0" w:color="auto"/>
            </w:tcBorders>
            <w:shd w:val="clear" w:color="auto" w:fill="auto"/>
            <w:vAlign w:val="center"/>
          </w:tcPr>
          <w:p w14:paraId="00D71E56" w14:textId="77777777" w:rsidR="009E4C91" w:rsidRPr="004F24F9" w:rsidRDefault="009E4C91" w:rsidP="00544ACE">
            <w:pPr>
              <w:jc w:val="center"/>
              <w:rPr>
                <w:rFonts w:cs="Times New Roman"/>
                <w:b/>
                <w:bCs/>
                <w:sz w:val="22"/>
              </w:rPr>
            </w:pPr>
            <w:r w:rsidRPr="004F24F9">
              <w:rPr>
                <w:rFonts w:cs="Times New Roman"/>
                <w:b/>
                <w:bCs/>
                <w:sz w:val="22"/>
              </w:rPr>
              <w:t>2021</w:t>
            </w:r>
          </w:p>
        </w:tc>
        <w:tc>
          <w:tcPr>
            <w:tcW w:w="1134" w:type="dxa"/>
            <w:tcBorders>
              <w:top w:val="single" w:sz="4" w:space="0" w:color="auto"/>
            </w:tcBorders>
            <w:shd w:val="clear" w:color="auto" w:fill="auto"/>
            <w:vAlign w:val="center"/>
          </w:tcPr>
          <w:p w14:paraId="57B36CE8" w14:textId="77777777" w:rsidR="009E4C91" w:rsidRPr="004F24F9" w:rsidRDefault="009E4C91" w:rsidP="00544ACE">
            <w:pPr>
              <w:jc w:val="center"/>
              <w:rPr>
                <w:rFonts w:cs="Times New Roman"/>
                <w:b/>
                <w:bCs/>
                <w:sz w:val="22"/>
              </w:rPr>
            </w:pPr>
            <w:r w:rsidRPr="004F24F9">
              <w:rPr>
                <w:rFonts w:cs="Times New Roman"/>
                <w:b/>
                <w:bCs/>
                <w:sz w:val="22"/>
              </w:rPr>
              <w:t>2022</w:t>
            </w:r>
          </w:p>
        </w:tc>
        <w:tc>
          <w:tcPr>
            <w:tcW w:w="1417" w:type="dxa"/>
            <w:tcBorders>
              <w:top w:val="single" w:sz="4" w:space="0" w:color="auto"/>
            </w:tcBorders>
            <w:shd w:val="clear" w:color="auto" w:fill="auto"/>
            <w:vAlign w:val="center"/>
          </w:tcPr>
          <w:p w14:paraId="1965EBCF" w14:textId="77777777" w:rsidR="009E4C91" w:rsidRPr="004F24F9" w:rsidRDefault="009E4C91" w:rsidP="00544ACE">
            <w:pPr>
              <w:jc w:val="center"/>
              <w:rPr>
                <w:rFonts w:cs="Times New Roman"/>
                <w:b/>
                <w:bCs/>
                <w:sz w:val="22"/>
              </w:rPr>
            </w:pPr>
            <w:r w:rsidRPr="004F24F9">
              <w:rPr>
                <w:rFonts w:cs="Times New Roman"/>
                <w:b/>
                <w:bCs/>
                <w:sz w:val="22"/>
              </w:rPr>
              <w:t>2023</w:t>
            </w:r>
          </w:p>
        </w:tc>
      </w:tr>
      <w:tr w:rsidR="004F24F9" w:rsidRPr="004F24F9" w14:paraId="48A6D84B" w14:textId="77777777" w:rsidTr="001A108F">
        <w:trPr>
          <w:trHeight w:val="570"/>
          <w:jc w:val="center"/>
        </w:trPr>
        <w:tc>
          <w:tcPr>
            <w:tcW w:w="1363" w:type="dxa"/>
            <w:vAlign w:val="center"/>
          </w:tcPr>
          <w:p w14:paraId="7B981C9F" w14:textId="77777777" w:rsidR="009E4C91" w:rsidRPr="004F24F9" w:rsidRDefault="009E4C91" w:rsidP="00544ACE">
            <w:pPr>
              <w:jc w:val="center"/>
              <w:rPr>
                <w:rFonts w:cs="Times New Roman"/>
                <w:bCs/>
                <w:sz w:val="22"/>
              </w:rPr>
            </w:pPr>
            <w:r w:rsidRPr="004F24F9">
              <w:rPr>
                <w:rFonts w:cs="Times New Roman"/>
                <w:bCs/>
                <w:sz w:val="22"/>
              </w:rPr>
              <w:t>Thu NSNN</w:t>
            </w:r>
          </w:p>
          <w:p w14:paraId="158EEF7C" w14:textId="550EEDEB" w:rsidR="009E4C91" w:rsidRPr="004F24F9" w:rsidRDefault="009E4C91" w:rsidP="00544ACE">
            <w:pPr>
              <w:jc w:val="center"/>
              <w:rPr>
                <w:rFonts w:cs="Times New Roman"/>
                <w:bCs/>
                <w:sz w:val="22"/>
              </w:rPr>
            </w:pPr>
            <w:r w:rsidRPr="004F24F9">
              <w:rPr>
                <w:rFonts w:cs="Times New Roman"/>
                <w:bCs/>
                <w:sz w:val="22"/>
              </w:rPr>
              <w:t>(</w:t>
            </w:r>
            <w:r w:rsidR="005D28C8" w:rsidRPr="004F24F9">
              <w:rPr>
                <w:rFonts w:cs="Times New Roman"/>
                <w:bCs/>
                <w:sz w:val="22"/>
              </w:rPr>
              <w:t>tỉ</w:t>
            </w:r>
            <w:r w:rsidRPr="004F24F9">
              <w:rPr>
                <w:rFonts w:cs="Times New Roman"/>
                <w:bCs/>
                <w:sz w:val="22"/>
              </w:rPr>
              <w:t xml:space="preserve"> đồng)</w:t>
            </w:r>
          </w:p>
        </w:tc>
        <w:tc>
          <w:tcPr>
            <w:tcW w:w="1184" w:type="dxa"/>
            <w:shd w:val="clear" w:color="auto" w:fill="auto"/>
            <w:noWrap/>
            <w:vAlign w:val="center"/>
          </w:tcPr>
          <w:p w14:paraId="278614EE" w14:textId="77777777" w:rsidR="009E4C91" w:rsidRPr="004F24F9" w:rsidRDefault="009E4C91" w:rsidP="00544ACE">
            <w:pPr>
              <w:jc w:val="center"/>
              <w:outlineLvl w:val="0"/>
              <w:rPr>
                <w:rFonts w:cs="Times New Roman"/>
                <w:sz w:val="22"/>
              </w:rPr>
            </w:pPr>
            <w:bookmarkStart w:id="20" w:name="_Toc184938647"/>
            <w:r w:rsidRPr="004F24F9">
              <w:rPr>
                <w:rFonts w:cs="Times New Roman"/>
                <w:sz w:val="22"/>
              </w:rPr>
              <w:t>86.426,3</w:t>
            </w:r>
            <w:bookmarkEnd w:id="20"/>
          </w:p>
        </w:tc>
        <w:tc>
          <w:tcPr>
            <w:tcW w:w="1276" w:type="dxa"/>
            <w:shd w:val="clear" w:color="auto" w:fill="auto"/>
            <w:noWrap/>
            <w:vAlign w:val="center"/>
          </w:tcPr>
          <w:p w14:paraId="5DDDC0BB" w14:textId="77777777" w:rsidR="009E4C91" w:rsidRPr="004F24F9" w:rsidRDefault="009E4C91" w:rsidP="00544ACE">
            <w:pPr>
              <w:jc w:val="center"/>
              <w:outlineLvl w:val="0"/>
              <w:rPr>
                <w:rFonts w:cs="Times New Roman"/>
                <w:sz w:val="22"/>
              </w:rPr>
            </w:pPr>
            <w:bookmarkStart w:id="21" w:name="_Toc184938648"/>
            <w:r w:rsidRPr="004F24F9">
              <w:rPr>
                <w:rFonts w:cs="Times New Roman"/>
                <w:sz w:val="22"/>
              </w:rPr>
              <w:t>98.611,8</w:t>
            </w:r>
            <w:bookmarkEnd w:id="21"/>
          </w:p>
        </w:tc>
        <w:tc>
          <w:tcPr>
            <w:tcW w:w="1559" w:type="dxa"/>
            <w:shd w:val="clear" w:color="auto" w:fill="auto"/>
            <w:noWrap/>
            <w:vAlign w:val="center"/>
          </w:tcPr>
          <w:p w14:paraId="1F37B0B5" w14:textId="77777777" w:rsidR="009E4C91" w:rsidRPr="004F24F9" w:rsidRDefault="009E4C91" w:rsidP="00544ACE">
            <w:pPr>
              <w:jc w:val="center"/>
              <w:outlineLvl w:val="0"/>
              <w:rPr>
                <w:rFonts w:cs="Times New Roman"/>
                <w:sz w:val="22"/>
              </w:rPr>
            </w:pPr>
            <w:bookmarkStart w:id="22" w:name="_Toc184938649"/>
            <w:r w:rsidRPr="004F24F9">
              <w:rPr>
                <w:rFonts w:cs="Times New Roman"/>
                <w:sz w:val="22"/>
              </w:rPr>
              <w:t>118.812,2</w:t>
            </w:r>
            <w:bookmarkEnd w:id="22"/>
          </w:p>
        </w:tc>
        <w:tc>
          <w:tcPr>
            <w:tcW w:w="1134" w:type="dxa"/>
            <w:shd w:val="clear" w:color="auto" w:fill="auto"/>
            <w:noWrap/>
            <w:vAlign w:val="center"/>
          </w:tcPr>
          <w:p w14:paraId="3682E360" w14:textId="77777777" w:rsidR="009E4C91" w:rsidRPr="004F24F9" w:rsidRDefault="009E4C91" w:rsidP="00544ACE">
            <w:pPr>
              <w:jc w:val="center"/>
              <w:outlineLvl w:val="0"/>
              <w:rPr>
                <w:rFonts w:cs="Times New Roman"/>
                <w:sz w:val="22"/>
              </w:rPr>
            </w:pPr>
            <w:bookmarkStart w:id="23" w:name="_Toc184938650"/>
            <w:r w:rsidRPr="004F24F9">
              <w:rPr>
                <w:rFonts w:cs="Times New Roman"/>
                <w:sz w:val="22"/>
              </w:rPr>
              <w:t>115.500,9</w:t>
            </w:r>
            <w:bookmarkEnd w:id="23"/>
          </w:p>
        </w:tc>
        <w:tc>
          <w:tcPr>
            <w:tcW w:w="1417" w:type="dxa"/>
            <w:shd w:val="clear" w:color="auto" w:fill="auto"/>
            <w:noWrap/>
            <w:vAlign w:val="center"/>
          </w:tcPr>
          <w:p w14:paraId="5659A8A0" w14:textId="77777777" w:rsidR="009E4C91" w:rsidRPr="004F24F9" w:rsidRDefault="009E4C91" w:rsidP="00544ACE">
            <w:pPr>
              <w:jc w:val="center"/>
              <w:outlineLvl w:val="0"/>
              <w:rPr>
                <w:rFonts w:cs="Times New Roman"/>
                <w:sz w:val="22"/>
              </w:rPr>
            </w:pPr>
            <w:bookmarkStart w:id="24" w:name="_Toc184938651"/>
            <w:r w:rsidRPr="004F24F9">
              <w:rPr>
                <w:rFonts w:cs="Times New Roman"/>
                <w:sz w:val="22"/>
              </w:rPr>
              <w:t>100.513,3</w:t>
            </w:r>
            <w:bookmarkEnd w:id="24"/>
          </w:p>
        </w:tc>
      </w:tr>
      <w:tr w:rsidR="004F24F9" w:rsidRPr="004F24F9" w14:paraId="0EF0F091" w14:textId="77777777" w:rsidTr="001A108F">
        <w:trPr>
          <w:trHeight w:val="570"/>
          <w:jc w:val="center"/>
        </w:trPr>
        <w:tc>
          <w:tcPr>
            <w:tcW w:w="1363" w:type="dxa"/>
            <w:vAlign w:val="center"/>
          </w:tcPr>
          <w:p w14:paraId="43C48ABD" w14:textId="77777777" w:rsidR="009E4C91" w:rsidRPr="004F24F9" w:rsidRDefault="009E4C91" w:rsidP="00544ACE">
            <w:pPr>
              <w:jc w:val="center"/>
              <w:rPr>
                <w:rFonts w:cs="Times New Roman"/>
                <w:bCs/>
                <w:sz w:val="22"/>
              </w:rPr>
            </w:pPr>
            <w:r w:rsidRPr="004F24F9">
              <w:rPr>
                <w:rFonts w:cs="Times New Roman"/>
                <w:bCs/>
                <w:sz w:val="22"/>
              </w:rPr>
              <w:t>Chi NSNN</w:t>
            </w:r>
          </w:p>
          <w:p w14:paraId="660B582A" w14:textId="75C7065B" w:rsidR="009E4C91" w:rsidRPr="004F24F9" w:rsidRDefault="009E4C91" w:rsidP="00544ACE">
            <w:pPr>
              <w:jc w:val="center"/>
              <w:rPr>
                <w:rFonts w:cs="Times New Roman"/>
                <w:bCs/>
                <w:sz w:val="22"/>
              </w:rPr>
            </w:pPr>
            <w:r w:rsidRPr="004F24F9">
              <w:rPr>
                <w:rFonts w:cs="Times New Roman"/>
                <w:bCs/>
                <w:sz w:val="22"/>
              </w:rPr>
              <w:t>(</w:t>
            </w:r>
            <w:r w:rsidR="005D28C8" w:rsidRPr="004F24F9">
              <w:rPr>
                <w:rFonts w:cs="Times New Roman"/>
                <w:bCs/>
                <w:sz w:val="22"/>
              </w:rPr>
              <w:t>tỉ</w:t>
            </w:r>
            <w:r w:rsidRPr="004F24F9">
              <w:rPr>
                <w:rFonts w:cs="Times New Roman"/>
                <w:bCs/>
                <w:sz w:val="22"/>
              </w:rPr>
              <w:t xml:space="preserve"> đồng)</w:t>
            </w:r>
          </w:p>
        </w:tc>
        <w:tc>
          <w:tcPr>
            <w:tcW w:w="1184" w:type="dxa"/>
            <w:shd w:val="clear" w:color="auto" w:fill="auto"/>
            <w:noWrap/>
            <w:vAlign w:val="center"/>
          </w:tcPr>
          <w:p w14:paraId="5C42257D" w14:textId="77777777" w:rsidR="009E4C91" w:rsidRPr="004F24F9" w:rsidRDefault="009E4C91" w:rsidP="00544ACE">
            <w:pPr>
              <w:jc w:val="center"/>
              <w:outlineLvl w:val="0"/>
              <w:rPr>
                <w:rFonts w:cs="Times New Roman"/>
                <w:sz w:val="22"/>
              </w:rPr>
            </w:pPr>
            <w:bookmarkStart w:id="25" w:name="_Toc184938652"/>
            <w:r w:rsidRPr="004F24F9">
              <w:rPr>
                <w:rFonts w:cs="Times New Roman"/>
                <w:sz w:val="22"/>
              </w:rPr>
              <w:t>61.014,1</w:t>
            </w:r>
            <w:bookmarkEnd w:id="25"/>
          </w:p>
        </w:tc>
        <w:tc>
          <w:tcPr>
            <w:tcW w:w="1276" w:type="dxa"/>
            <w:shd w:val="clear" w:color="auto" w:fill="auto"/>
            <w:noWrap/>
            <w:vAlign w:val="center"/>
          </w:tcPr>
          <w:p w14:paraId="70A50B44" w14:textId="77777777" w:rsidR="009E4C91" w:rsidRPr="004F24F9" w:rsidRDefault="009E4C91" w:rsidP="00544ACE">
            <w:pPr>
              <w:jc w:val="center"/>
              <w:outlineLvl w:val="0"/>
              <w:rPr>
                <w:rFonts w:cs="Times New Roman"/>
                <w:sz w:val="22"/>
              </w:rPr>
            </w:pPr>
            <w:bookmarkStart w:id="26" w:name="_Toc184938653"/>
            <w:r w:rsidRPr="004F24F9">
              <w:rPr>
                <w:rFonts w:cs="Times New Roman"/>
                <w:sz w:val="22"/>
              </w:rPr>
              <w:t>75.525,9</w:t>
            </w:r>
            <w:bookmarkEnd w:id="26"/>
          </w:p>
        </w:tc>
        <w:tc>
          <w:tcPr>
            <w:tcW w:w="1559" w:type="dxa"/>
            <w:shd w:val="clear" w:color="auto" w:fill="auto"/>
            <w:noWrap/>
            <w:vAlign w:val="center"/>
          </w:tcPr>
          <w:p w14:paraId="06AE2E43" w14:textId="77777777" w:rsidR="009E4C91" w:rsidRPr="004F24F9" w:rsidRDefault="009E4C91" w:rsidP="00544ACE">
            <w:pPr>
              <w:jc w:val="center"/>
              <w:outlineLvl w:val="0"/>
              <w:rPr>
                <w:rFonts w:cs="Times New Roman"/>
                <w:sz w:val="22"/>
              </w:rPr>
            </w:pPr>
            <w:bookmarkStart w:id="27" w:name="_Toc184938654"/>
            <w:r w:rsidRPr="004F24F9">
              <w:rPr>
                <w:rFonts w:cs="Times New Roman"/>
                <w:sz w:val="22"/>
              </w:rPr>
              <w:t>64.192,7</w:t>
            </w:r>
            <w:bookmarkEnd w:id="27"/>
          </w:p>
        </w:tc>
        <w:tc>
          <w:tcPr>
            <w:tcW w:w="1134" w:type="dxa"/>
            <w:shd w:val="clear" w:color="auto" w:fill="auto"/>
            <w:noWrap/>
            <w:vAlign w:val="center"/>
          </w:tcPr>
          <w:p w14:paraId="63316BDF" w14:textId="77777777" w:rsidR="009E4C91" w:rsidRPr="004F24F9" w:rsidRDefault="009E4C91" w:rsidP="00544ACE">
            <w:pPr>
              <w:jc w:val="center"/>
              <w:outlineLvl w:val="0"/>
              <w:rPr>
                <w:rFonts w:cs="Times New Roman"/>
                <w:sz w:val="22"/>
              </w:rPr>
            </w:pPr>
            <w:bookmarkStart w:id="28" w:name="_Toc184938655"/>
            <w:r w:rsidRPr="004F24F9">
              <w:rPr>
                <w:rFonts w:cs="Times New Roman"/>
                <w:sz w:val="22"/>
              </w:rPr>
              <w:t>50.511,3</w:t>
            </w:r>
            <w:bookmarkEnd w:id="28"/>
          </w:p>
        </w:tc>
        <w:tc>
          <w:tcPr>
            <w:tcW w:w="1417" w:type="dxa"/>
            <w:shd w:val="clear" w:color="auto" w:fill="auto"/>
            <w:noWrap/>
            <w:vAlign w:val="center"/>
          </w:tcPr>
          <w:p w14:paraId="7A04384E" w14:textId="77777777" w:rsidR="009E4C91" w:rsidRPr="004F24F9" w:rsidRDefault="009E4C91" w:rsidP="00544ACE">
            <w:pPr>
              <w:jc w:val="center"/>
              <w:outlineLvl w:val="0"/>
              <w:rPr>
                <w:rFonts w:cs="Times New Roman"/>
                <w:sz w:val="22"/>
              </w:rPr>
            </w:pPr>
            <w:bookmarkStart w:id="29" w:name="_Toc184938656"/>
            <w:r w:rsidRPr="004F24F9">
              <w:rPr>
                <w:rFonts w:cs="Times New Roman"/>
                <w:sz w:val="22"/>
              </w:rPr>
              <w:t>47.612,3</w:t>
            </w:r>
            <w:bookmarkEnd w:id="29"/>
          </w:p>
        </w:tc>
      </w:tr>
      <w:tr w:rsidR="004F24F9" w:rsidRPr="004F24F9" w14:paraId="37C000D5" w14:textId="77777777" w:rsidTr="001A108F">
        <w:trPr>
          <w:trHeight w:val="570"/>
          <w:jc w:val="center"/>
        </w:trPr>
        <w:tc>
          <w:tcPr>
            <w:tcW w:w="1363" w:type="dxa"/>
            <w:vAlign w:val="center"/>
          </w:tcPr>
          <w:p w14:paraId="4C499143" w14:textId="77777777" w:rsidR="009E4C91" w:rsidRPr="004F24F9" w:rsidRDefault="009E4C91" w:rsidP="00544ACE">
            <w:pPr>
              <w:jc w:val="center"/>
              <w:rPr>
                <w:rFonts w:cs="Times New Roman"/>
                <w:bCs/>
                <w:sz w:val="22"/>
              </w:rPr>
            </w:pPr>
            <w:r w:rsidRPr="004F24F9">
              <w:rPr>
                <w:rFonts w:cs="Times New Roman"/>
                <w:bCs/>
                <w:sz w:val="22"/>
              </w:rPr>
              <w:t>Vốn ủy thác</w:t>
            </w:r>
          </w:p>
          <w:p w14:paraId="3D56A616" w14:textId="77777777" w:rsidR="009E4C91" w:rsidRPr="004F24F9" w:rsidRDefault="009E4C91" w:rsidP="00544ACE">
            <w:pPr>
              <w:jc w:val="center"/>
              <w:rPr>
                <w:rFonts w:cs="Times New Roman"/>
                <w:bCs/>
                <w:sz w:val="22"/>
              </w:rPr>
            </w:pPr>
            <w:r w:rsidRPr="004F24F9">
              <w:rPr>
                <w:rFonts w:cs="Times New Roman"/>
                <w:bCs/>
                <w:sz w:val="22"/>
              </w:rPr>
              <w:t>(triệu đồng)</w:t>
            </w:r>
          </w:p>
        </w:tc>
        <w:tc>
          <w:tcPr>
            <w:tcW w:w="1184" w:type="dxa"/>
            <w:shd w:val="clear" w:color="auto" w:fill="auto"/>
            <w:noWrap/>
            <w:vAlign w:val="center"/>
          </w:tcPr>
          <w:p w14:paraId="402E5F4D" w14:textId="77777777" w:rsidR="009E4C91" w:rsidRPr="004F24F9" w:rsidRDefault="009E4C91" w:rsidP="00544ACE">
            <w:pPr>
              <w:jc w:val="center"/>
              <w:outlineLvl w:val="0"/>
              <w:rPr>
                <w:rFonts w:cs="Times New Roman"/>
                <w:sz w:val="22"/>
              </w:rPr>
            </w:pPr>
            <w:bookmarkStart w:id="30" w:name="_Toc184938657"/>
            <w:r w:rsidRPr="004F24F9">
              <w:rPr>
                <w:rFonts w:cs="Times New Roman"/>
                <w:sz w:val="22"/>
              </w:rPr>
              <w:t>442.784</w:t>
            </w:r>
            <w:bookmarkEnd w:id="30"/>
          </w:p>
        </w:tc>
        <w:tc>
          <w:tcPr>
            <w:tcW w:w="1276" w:type="dxa"/>
            <w:shd w:val="clear" w:color="auto" w:fill="auto"/>
            <w:noWrap/>
            <w:vAlign w:val="center"/>
          </w:tcPr>
          <w:p w14:paraId="4E0AE77C" w14:textId="77777777" w:rsidR="009E4C91" w:rsidRPr="004F24F9" w:rsidRDefault="009E4C91" w:rsidP="00544ACE">
            <w:pPr>
              <w:jc w:val="center"/>
              <w:outlineLvl w:val="0"/>
              <w:rPr>
                <w:rFonts w:cs="Times New Roman"/>
                <w:sz w:val="22"/>
              </w:rPr>
            </w:pPr>
            <w:bookmarkStart w:id="31" w:name="_Toc184938658"/>
            <w:r w:rsidRPr="004F24F9">
              <w:rPr>
                <w:rFonts w:cs="Times New Roman"/>
                <w:sz w:val="22"/>
              </w:rPr>
              <w:t>591.201</w:t>
            </w:r>
            <w:bookmarkEnd w:id="31"/>
          </w:p>
        </w:tc>
        <w:tc>
          <w:tcPr>
            <w:tcW w:w="1559" w:type="dxa"/>
            <w:shd w:val="clear" w:color="auto" w:fill="auto"/>
            <w:noWrap/>
            <w:vAlign w:val="center"/>
          </w:tcPr>
          <w:p w14:paraId="135F6A13" w14:textId="77777777" w:rsidR="009E4C91" w:rsidRPr="004F24F9" w:rsidRDefault="009E4C91" w:rsidP="00544ACE">
            <w:pPr>
              <w:jc w:val="center"/>
              <w:outlineLvl w:val="0"/>
              <w:rPr>
                <w:rFonts w:cs="Times New Roman"/>
                <w:sz w:val="22"/>
              </w:rPr>
            </w:pPr>
            <w:bookmarkStart w:id="32" w:name="_Toc184938659"/>
            <w:r w:rsidRPr="004F24F9">
              <w:rPr>
                <w:rFonts w:cs="Times New Roman"/>
                <w:sz w:val="22"/>
              </w:rPr>
              <w:t>757.346</w:t>
            </w:r>
            <w:bookmarkEnd w:id="32"/>
          </w:p>
        </w:tc>
        <w:tc>
          <w:tcPr>
            <w:tcW w:w="1134" w:type="dxa"/>
            <w:shd w:val="clear" w:color="auto" w:fill="auto"/>
            <w:noWrap/>
            <w:vAlign w:val="center"/>
          </w:tcPr>
          <w:p w14:paraId="4E750F34" w14:textId="77777777" w:rsidR="009E4C91" w:rsidRPr="004F24F9" w:rsidRDefault="009E4C91" w:rsidP="00544ACE">
            <w:pPr>
              <w:jc w:val="center"/>
              <w:outlineLvl w:val="0"/>
              <w:rPr>
                <w:rFonts w:cs="Times New Roman"/>
                <w:sz w:val="22"/>
              </w:rPr>
            </w:pPr>
            <w:bookmarkStart w:id="33" w:name="_Toc184938660"/>
            <w:r w:rsidRPr="004F24F9">
              <w:rPr>
                <w:rFonts w:cs="Times New Roman"/>
                <w:sz w:val="22"/>
              </w:rPr>
              <w:t>1.004.378</w:t>
            </w:r>
            <w:bookmarkEnd w:id="33"/>
          </w:p>
        </w:tc>
        <w:tc>
          <w:tcPr>
            <w:tcW w:w="1417" w:type="dxa"/>
            <w:shd w:val="clear" w:color="auto" w:fill="auto"/>
            <w:noWrap/>
            <w:vAlign w:val="center"/>
          </w:tcPr>
          <w:p w14:paraId="7BD50F7C" w14:textId="77777777" w:rsidR="009E4C91" w:rsidRPr="004F24F9" w:rsidRDefault="009E4C91" w:rsidP="00544ACE">
            <w:pPr>
              <w:jc w:val="center"/>
              <w:outlineLvl w:val="0"/>
              <w:rPr>
                <w:rFonts w:cs="Times New Roman"/>
                <w:sz w:val="22"/>
              </w:rPr>
            </w:pPr>
            <w:bookmarkStart w:id="34" w:name="_Toc184938661"/>
            <w:r w:rsidRPr="004F24F9">
              <w:rPr>
                <w:rFonts w:cs="Times New Roman"/>
                <w:sz w:val="22"/>
              </w:rPr>
              <w:t>1.238.907</w:t>
            </w:r>
            <w:bookmarkEnd w:id="34"/>
          </w:p>
        </w:tc>
      </w:tr>
    </w:tbl>
    <w:p w14:paraId="65A40501" w14:textId="1A99DF4A" w:rsidR="00AE023D" w:rsidRPr="004F24F9" w:rsidRDefault="009E4C91" w:rsidP="0085219B">
      <w:pPr>
        <w:spacing w:line="320" w:lineRule="exact"/>
        <w:ind w:firstLine="397"/>
        <w:jc w:val="both"/>
        <w:rPr>
          <w:rFonts w:cs="Times New Roman"/>
          <w:iCs/>
          <w:sz w:val="24"/>
          <w:szCs w:val="24"/>
        </w:rPr>
      </w:pPr>
      <w:r w:rsidRPr="004F24F9">
        <w:rPr>
          <w:rFonts w:cs="Times New Roman"/>
          <w:iCs/>
          <w:sz w:val="24"/>
          <w:szCs w:val="24"/>
        </w:rPr>
        <w:t>(</w:t>
      </w:r>
      <w:r w:rsidR="003E3ED8" w:rsidRPr="004F24F9">
        <w:rPr>
          <w:rFonts w:cs="Times New Roman"/>
          <w:iCs/>
          <w:sz w:val="24"/>
          <w:szCs w:val="24"/>
        </w:rPr>
        <w:t>Nguồn: Cục Thống kê tỉnh Đồng Nai, 202</w:t>
      </w:r>
      <w:r w:rsidR="00AE023D" w:rsidRPr="004F24F9">
        <w:rPr>
          <w:rFonts w:cs="Times New Roman"/>
          <w:iCs/>
          <w:sz w:val="24"/>
          <w:szCs w:val="24"/>
        </w:rPr>
        <w:t>4 và Số liệu của Chi nhánh NHCSXH tỉnh Đồng Nai)</w:t>
      </w:r>
    </w:p>
    <w:p w14:paraId="176CAC08" w14:textId="01EC9407" w:rsidR="00104131" w:rsidRPr="004F24F9" w:rsidRDefault="00104131" w:rsidP="0085219B">
      <w:pPr>
        <w:spacing w:line="320" w:lineRule="exact"/>
        <w:jc w:val="both"/>
        <w:rPr>
          <w:rFonts w:cs="Times New Roman"/>
          <w:bCs/>
          <w:sz w:val="24"/>
          <w:szCs w:val="24"/>
        </w:rPr>
        <w:sectPr w:rsidR="00104131" w:rsidRPr="004F24F9" w:rsidSect="006241F2">
          <w:type w:val="continuous"/>
          <w:pgSz w:w="11057" w:h="15593" w:code="9"/>
          <w:pgMar w:top="1418" w:right="1418" w:bottom="1418" w:left="1418" w:header="964" w:footer="851" w:gutter="0"/>
          <w:cols w:space="708"/>
          <w:docGrid w:linePitch="381"/>
        </w:sectPr>
      </w:pPr>
    </w:p>
    <w:p w14:paraId="799C60C6" w14:textId="60A345DB" w:rsidR="009E4C91" w:rsidRPr="004F24F9" w:rsidRDefault="009E4C91" w:rsidP="0085219B">
      <w:pPr>
        <w:spacing w:line="320" w:lineRule="exact"/>
        <w:ind w:firstLine="397"/>
        <w:jc w:val="both"/>
        <w:rPr>
          <w:rFonts w:cs="Times New Roman"/>
          <w:sz w:val="24"/>
          <w:szCs w:val="24"/>
        </w:rPr>
      </w:pPr>
      <w:r w:rsidRPr="004F24F9">
        <w:rPr>
          <w:rFonts w:cs="Times New Roman"/>
          <w:bCs/>
          <w:sz w:val="24"/>
          <w:szCs w:val="24"/>
        </w:rPr>
        <w:lastRenderedPageBreak/>
        <w:t>Bên cạnh đó, quy mô tín dụng chính sách xã hội tại Đồng Nai còn thấp và chưa tương xứng với quy mô dân số của tỉnh. Tính đến năm 2023</w:t>
      </w:r>
      <w:r w:rsidR="00080B36" w:rsidRPr="004F24F9">
        <w:rPr>
          <w:rFonts w:cs="Times New Roman"/>
          <w:bCs/>
          <w:sz w:val="24"/>
          <w:szCs w:val="24"/>
        </w:rPr>
        <w:t>,</w:t>
      </w:r>
      <w:r w:rsidRPr="004F24F9">
        <w:rPr>
          <w:rFonts w:cs="Times New Roman"/>
          <w:bCs/>
          <w:sz w:val="24"/>
          <w:szCs w:val="24"/>
        </w:rPr>
        <w:t xml:space="preserve"> dân số Đồng Nai là 3.310.862 người, trong đó trong độ tuổi lao động là 1.832.026 người, trong đó </w:t>
      </w:r>
      <w:r w:rsidR="005D28C8" w:rsidRPr="004F24F9">
        <w:rPr>
          <w:rFonts w:cs="Times New Roman"/>
          <w:bCs/>
          <w:sz w:val="24"/>
          <w:szCs w:val="24"/>
        </w:rPr>
        <w:t>tỉ</w:t>
      </w:r>
      <w:r w:rsidRPr="004F24F9">
        <w:rPr>
          <w:rFonts w:cs="Times New Roman"/>
          <w:bCs/>
          <w:sz w:val="24"/>
          <w:szCs w:val="24"/>
        </w:rPr>
        <w:t xml:space="preserve"> lệ thất nghiệp ở thành thị là 1,89%, ở nông thôn là 3,29% (tương đương với khoảng 94.898 người thất nghiệp</w:t>
      </w:r>
      <w:sdt>
        <w:sdtPr>
          <w:rPr>
            <w:rFonts w:cs="Times New Roman"/>
            <w:bCs/>
            <w:sz w:val="24"/>
            <w:szCs w:val="24"/>
          </w:rPr>
          <w:id w:val="-816263821"/>
          <w:citation/>
        </w:sdtPr>
        <w:sdtEndPr/>
        <w:sdtContent>
          <w:r w:rsidRPr="004F24F9">
            <w:rPr>
              <w:rFonts w:cs="Times New Roman"/>
              <w:bCs/>
              <w:sz w:val="24"/>
              <w:szCs w:val="24"/>
            </w:rPr>
            <w:fldChar w:fldCharType="begin"/>
          </w:r>
          <w:r w:rsidRPr="004F24F9">
            <w:rPr>
              <w:rFonts w:cs="Times New Roman"/>
              <w:bCs/>
              <w:sz w:val="24"/>
              <w:szCs w:val="24"/>
            </w:rPr>
            <w:instrText xml:space="preserve">CITATION Cục24 \p "90, 117" \l 1033 </w:instrText>
          </w:r>
          <w:r w:rsidRPr="004F24F9">
            <w:rPr>
              <w:rFonts w:cs="Times New Roman"/>
              <w:bCs/>
              <w:sz w:val="24"/>
              <w:szCs w:val="24"/>
            </w:rPr>
            <w:fldChar w:fldCharType="separate"/>
          </w:r>
          <w:r w:rsidRPr="004F24F9">
            <w:rPr>
              <w:rFonts w:cs="Times New Roman"/>
              <w:bCs/>
              <w:sz w:val="24"/>
              <w:szCs w:val="24"/>
            </w:rPr>
            <w:t xml:space="preserve"> </w:t>
          </w:r>
          <w:r w:rsidRPr="004F24F9">
            <w:rPr>
              <w:rFonts w:cs="Times New Roman"/>
              <w:sz w:val="24"/>
              <w:szCs w:val="24"/>
            </w:rPr>
            <w:t>(Cục thống kê tỉnh Đồng Nai, 2024, pp. 90, 117)</w:t>
          </w:r>
          <w:r w:rsidRPr="004F24F9">
            <w:rPr>
              <w:rFonts w:cs="Times New Roman"/>
              <w:bCs/>
              <w:sz w:val="24"/>
              <w:szCs w:val="24"/>
            </w:rPr>
            <w:fldChar w:fldCharType="end"/>
          </w:r>
        </w:sdtContent>
      </w:sdt>
      <w:r w:rsidRPr="004F24F9">
        <w:rPr>
          <w:rFonts w:cs="Times New Roman"/>
          <w:bCs/>
          <w:sz w:val="24"/>
          <w:szCs w:val="24"/>
        </w:rPr>
        <w:t xml:space="preserve">. </w:t>
      </w:r>
      <w:r w:rsidRPr="004F24F9">
        <w:rPr>
          <w:rFonts w:cs="Times New Roman"/>
          <w:sz w:val="24"/>
          <w:szCs w:val="24"/>
        </w:rPr>
        <w:t xml:space="preserve">Theo báo cáo của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đến cuối năm 2023, tổng dư nợ tín dụng chính sách xã hội tại Đồng Nai đạt 4.978.261 triệu đồng với 121.676 khách hàng, chiếm </w:t>
      </w:r>
      <w:r w:rsidR="005D28C8" w:rsidRPr="004F24F9">
        <w:rPr>
          <w:rFonts w:cs="Times New Roman"/>
          <w:sz w:val="24"/>
          <w:szCs w:val="24"/>
        </w:rPr>
        <w:t>tỉ</w:t>
      </w:r>
      <w:r w:rsidRPr="004F24F9">
        <w:rPr>
          <w:rFonts w:cs="Times New Roman"/>
          <w:sz w:val="24"/>
          <w:szCs w:val="24"/>
        </w:rPr>
        <w:t xml:space="preserve"> lệ 3,74% tổng dư nợ toàn hệ thống NHCSXH. Tuy nhiên, quy mô này chỉ xếp thứ 22 trên toàn quốc, trong khi dân số của tỉnh xếp hạng thứ 5 cả nước, chiếm </w:t>
      </w:r>
      <w:r w:rsidR="005D28C8" w:rsidRPr="004F24F9">
        <w:rPr>
          <w:rFonts w:cs="Times New Roman"/>
          <w:sz w:val="24"/>
          <w:szCs w:val="24"/>
        </w:rPr>
        <w:t>tỉ</w:t>
      </w:r>
      <w:r w:rsidRPr="004F24F9">
        <w:rPr>
          <w:rFonts w:cs="Times New Roman"/>
          <w:sz w:val="24"/>
          <w:szCs w:val="24"/>
        </w:rPr>
        <w:t xml:space="preserve"> trọng 3,27% dân số quốc gia. Sự chênh lệch này dẫn đến việc người nghèo và các đối tượng chính sách phải đối mặt với khó khăn trong việc tiếp cận các chương trình tín dụng cần thiết để cải thiện đời sống và sinh kế, như tín dụng nhà ở xã hội, hỗ trợ sinh viên nghèo, hỗ trợ việc làm. Điều này cho thấy sự chênh lệch rõ rệt giữa nhu cầu và khả năng đáp ứng vốn vay </w:t>
      </w:r>
      <w:r w:rsidRPr="004F24F9">
        <w:rPr>
          <w:rFonts w:cs="Times New Roman"/>
          <w:sz w:val="24"/>
          <w:szCs w:val="24"/>
        </w:rPr>
        <w:lastRenderedPageBreak/>
        <w:t xml:space="preserve">chính sách. Chẳng hạn, năm 2023, NHCSXH tỉnh đã hỗ trợ duy trì và tạo mới việc làm cho 22.416 lao động trong tổng số </w:t>
      </w:r>
      <w:r w:rsidRPr="004F24F9">
        <w:rPr>
          <w:rFonts w:cs="Times New Roman"/>
          <w:bCs/>
          <w:sz w:val="24"/>
          <w:szCs w:val="24"/>
        </w:rPr>
        <w:t>94.898 người thất nghiệp, mới chỉ đạt 23,6%</w:t>
      </w:r>
      <w:r w:rsidRPr="004F24F9">
        <w:rPr>
          <w:rFonts w:cs="Times New Roman"/>
          <w:sz w:val="24"/>
          <w:szCs w:val="24"/>
        </w:rPr>
        <w:t xml:space="preserve"> </w:t>
      </w:r>
      <w:sdt>
        <w:sdtPr>
          <w:rPr>
            <w:rFonts w:cs="Times New Roman"/>
            <w:sz w:val="24"/>
            <w:szCs w:val="24"/>
          </w:rPr>
          <w:id w:val="-563871114"/>
          <w:citation/>
        </w:sdtPr>
        <w:sdtEndPr/>
        <w:sdtContent>
          <w:r w:rsidRPr="004F24F9">
            <w:rPr>
              <w:rFonts w:cs="Times New Roman"/>
              <w:sz w:val="24"/>
              <w:szCs w:val="24"/>
            </w:rPr>
            <w:fldChar w:fldCharType="begin"/>
          </w:r>
          <w:r w:rsidR="00BE3D57" w:rsidRPr="004F24F9">
            <w:rPr>
              <w:rFonts w:cs="Times New Roman"/>
              <w:sz w:val="24"/>
              <w:szCs w:val="24"/>
            </w:rPr>
            <w:instrText xml:space="preserve">CITATION Ngâ24 \l 1033 </w:instrText>
          </w:r>
          <w:r w:rsidRPr="004F24F9">
            <w:rPr>
              <w:rFonts w:cs="Times New Roman"/>
              <w:sz w:val="24"/>
              <w:szCs w:val="24"/>
            </w:rPr>
            <w:fldChar w:fldCharType="separate"/>
          </w:r>
          <w:r w:rsidR="00BE3D57" w:rsidRPr="004F24F9">
            <w:rPr>
              <w:rFonts w:cs="Times New Roman"/>
              <w:noProof/>
              <w:sz w:val="24"/>
              <w:szCs w:val="24"/>
            </w:rPr>
            <w:t>(Chi nhánh Ngân hàng Chính sách xã hội tỉnh Đồng Nai, 2024a)</w:t>
          </w:r>
          <w:r w:rsidRPr="004F24F9">
            <w:rPr>
              <w:rFonts w:cs="Times New Roman"/>
              <w:sz w:val="24"/>
              <w:szCs w:val="24"/>
            </w:rPr>
            <w:fldChar w:fldCharType="end"/>
          </w:r>
        </w:sdtContent>
      </w:sdt>
      <w:r w:rsidRPr="004F24F9">
        <w:rPr>
          <w:rFonts w:cs="Times New Roman"/>
          <w:sz w:val="24"/>
          <w:szCs w:val="24"/>
        </w:rPr>
        <w:t xml:space="preserve">. Điều này cho thấy nhu cầu vay vốn tạo việc làm đang còn rất lớn. Mặc dù Đồng Nai là một trong những tỉnh có dân số lớn nhất cả nước, nguồn tín dụng chính sách xã hội vẫn chưa đáp ứng được nhu cầu vay vốn thực tế của người nghèo và các đối tượng chính sách. Điều này có thể bắt nguồn từ việc phân bổ ngân sách địa phương cho các chương trình tín dụng chưa tương xứng và các rào cản trong huy động nguồn vốn bổ sung. Việc cải thiện quy mô tín dụng chính sách xã hội là rất cần thiết để đáp ứng tốt hơn nhu cầu của người nghèo và các đối tượng chính sách. </w:t>
      </w:r>
    </w:p>
    <w:p w14:paraId="7F39816A" w14:textId="4AF771BB" w:rsidR="009E4C91" w:rsidRPr="004F24F9" w:rsidRDefault="009E4C91" w:rsidP="0085219B">
      <w:pPr>
        <w:spacing w:line="320" w:lineRule="exact"/>
        <w:jc w:val="both"/>
        <w:outlineLvl w:val="0"/>
        <w:rPr>
          <w:rFonts w:cs="Times New Roman"/>
          <w:b/>
          <w:i/>
          <w:spacing w:val="4"/>
          <w:sz w:val="24"/>
          <w:szCs w:val="24"/>
        </w:rPr>
      </w:pPr>
      <w:r w:rsidRPr="004F24F9">
        <w:rPr>
          <w:rFonts w:cs="Times New Roman"/>
          <w:b/>
          <w:i/>
          <w:spacing w:val="4"/>
          <w:sz w:val="24"/>
          <w:szCs w:val="24"/>
        </w:rPr>
        <w:t xml:space="preserve">2.3. </w:t>
      </w:r>
      <w:r w:rsidR="00155B32" w:rsidRPr="004F24F9">
        <w:rPr>
          <w:rFonts w:cs="Times New Roman"/>
          <w:b/>
          <w:i/>
          <w:spacing w:val="4"/>
          <w:sz w:val="24"/>
          <w:szCs w:val="24"/>
          <w:lang w:val="en-US"/>
        </w:rPr>
        <w:t>Bàn luận,</w:t>
      </w:r>
      <w:r w:rsidRPr="004F24F9">
        <w:rPr>
          <w:rFonts w:cs="Times New Roman"/>
          <w:b/>
          <w:i/>
          <w:spacing w:val="4"/>
          <w:sz w:val="24"/>
          <w:szCs w:val="24"/>
        </w:rPr>
        <w:t xml:space="preserve"> đánh giá về nguồn vốn ủy thác từ ngân sách địa phương</w:t>
      </w:r>
      <w:bookmarkEnd w:id="17"/>
      <w:r w:rsidRPr="004F24F9">
        <w:rPr>
          <w:rFonts w:cs="Times New Roman"/>
          <w:b/>
          <w:i/>
          <w:spacing w:val="4"/>
          <w:sz w:val="24"/>
          <w:szCs w:val="24"/>
        </w:rPr>
        <w:t xml:space="preserve"> </w:t>
      </w:r>
    </w:p>
    <w:p w14:paraId="5C26B884" w14:textId="1F9DFF4C" w:rsidR="009E4C91" w:rsidRPr="004F24F9" w:rsidRDefault="009E4C91" w:rsidP="0085219B">
      <w:pPr>
        <w:spacing w:line="320" w:lineRule="exact"/>
        <w:jc w:val="both"/>
        <w:outlineLvl w:val="0"/>
        <w:rPr>
          <w:rFonts w:cs="Times New Roman"/>
          <w:i/>
          <w:spacing w:val="4"/>
          <w:sz w:val="24"/>
          <w:szCs w:val="24"/>
        </w:rPr>
      </w:pPr>
      <w:bookmarkStart w:id="35" w:name="_Toc182080865"/>
      <w:r w:rsidRPr="004F24F9">
        <w:rPr>
          <w:rFonts w:cs="Times New Roman"/>
          <w:i/>
          <w:spacing w:val="4"/>
          <w:sz w:val="24"/>
          <w:szCs w:val="24"/>
        </w:rPr>
        <w:t>2.3.1.</w:t>
      </w:r>
      <w:r w:rsidR="00D8706A" w:rsidRPr="004F24F9">
        <w:rPr>
          <w:rFonts w:cs="Times New Roman"/>
          <w:i/>
          <w:spacing w:val="4"/>
          <w:sz w:val="24"/>
          <w:szCs w:val="24"/>
        </w:rPr>
        <w:t xml:space="preserve"> </w:t>
      </w:r>
      <w:r w:rsidRPr="004F24F9">
        <w:rPr>
          <w:rFonts w:cs="Times New Roman"/>
          <w:i/>
          <w:spacing w:val="4"/>
          <w:sz w:val="24"/>
          <w:szCs w:val="24"/>
        </w:rPr>
        <w:t>Nguồn vốn ủy thác từ ngân sách địa phương ngày càng lớn</w:t>
      </w:r>
      <w:bookmarkEnd w:id="35"/>
    </w:p>
    <w:p w14:paraId="54818747" w14:textId="0E63C55B" w:rsidR="009E4C91" w:rsidRPr="004F24F9" w:rsidRDefault="009E4C91" w:rsidP="0085219B">
      <w:pPr>
        <w:spacing w:line="320" w:lineRule="exact"/>
        <w:ind w:firstLine="397"/>
        <w:jc w:val="both"/>
        <w:rPr>
          <w:rFonts w:cs="Times New Roman"/>
          <w:sz w:val="24"/>
          <w:szCs w:val="24"/>
        </w:rPr>
      </w:pPr>
      <w:r w:rsidRPr="004F24F9">
        <w:rPr>
          <w:rFonts w:cs="Times New Roman"/>
          <w:sz w:val="24"/>
          <w:szCs w:val="24"/>
        </w:rPr>
        <w:t xml:space="preserve">Nguồn vốn ngân sách địa phương ủy thác sang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để cho vay người nghèo và các đối tượng chính sách </w:t>
      </w:r>
      <w:r w:rsidRPr="004F24F9">
        <w:rPr>
          <w:rFonts w:cs="Times New Roman"/>
          <w:sz w:val="24"/>
          <w:szCs w:val="24"/>
        </w:rPr>
        <w:lastRenderedPageBreak/>
        <w:t xml:space="preserve">đến ngày 31/8/2022 đạt 955 </w:t>
      </w:r>
      <w:r w:rsidR="005D28C8" w:rsidRPr="004F24F9">
        <w:rPr>
          <w:rFonts w:cs="Times New Roman"/>
          <w:sz w:val="24"/>
          <w:szCs w:val="24"/>
        </w:rPr>
        <w:t>tỉ</w:t>
      </w:r>
      <w:r w:rsidRPr="004F24F9">
        <w:rPr>
          <w:rFonts w:cs="Times New Roman"/>
          <w:sz w:val="24"/>
          <w:szCs w:val="24"/>
        </w:rPr>
        <w:t xml:space="preserve"> đồng, tăng 913,6 </w:t>
      </w:r>
      <w:r w:rsidR="005D28C8" w:rsidRPr="004F24F9">
        <w:rPr>
          <w:rFonts w:cs="Times New Roman"/>
          <w:sz w:val="24"/>
          <w:szCs w:val="24"/>
        </w:rPr>
        <w:t>tỉ</w:t>
      </w:r>
      <w:r w:rsidRPr="004F24F9">
        <w:rPr>
          <w:rFonts w:cs="Times New Roman"/>
          <w:sz w:val="24"/>
          <w:szCs w:val="24"/>
        </w:rPr>
        <w:t xml:space="preserve"> đồng (tăng 22 lần) so với năm 2003 và tăng 8,2 lần (852 </w:t>
      </w:r>
      <w:r w:rsidR="005D28C8" w:rsidRPr="004F24F9">
        <w:rPr>
          <w:rFonts w:cs="Times New Roman"/>
          <w:sz w:val="24"/>
          <w:szCs w:val="24"/>
        </w:rPr>
        <w:t>tỉ</w:t>
      </w:r>
      <w:r w:rsidRPr="004F24F9">
        <w:rPr>
          <w:rFonts w:cs="Times New Roman"/>
          <w:sz w:val="24"/>
          <w:szCs w:val="24"/>
        </w:rPr>
        <w:t xml:space="preserve"> đồng) so với trước khi có Chỉ thị số 40-CT/TW; trong đó nguồn vốn ngân sách cấp tỉnh là 706 </w:t>
      </w:r>
      <w:r w:rsidR="005D28C8" w:rsidRPr="004F24F9">
        <w:rPr>
          <w:rFonts w:cs="Times New Roman"/>
          <w:sz w:val="24"/>
          <w:szCs w:val="24"/>
        </w:rPr>
        <w:t>tỉ</w:t>
      </w:r>
      <w:r w:rsidRPr="004F24F9">
        <w:rPr>
          <w:rFonts w:cs="Times New Roman"/>
          <w:sz w:val="24"/>
          <w:szCs w:val="24"/>
        </w:rPr>
        <w:t xml:space="preserve"> đồng, nguồn vốn ngân sách cấp huyện là 249 </w:t>
      </w:r>
      <w:r w:rsidR="005D28C8" w:rsidRPr="004F24F9">
        <w:rPr>
          <w:rFonts w:cs="Times New Roman"/>
          <w:sz w:val="24"/>
          <w:szCs w:val="24"/>
        </w:rPr>
        <w:t>tỉ</w:t>
      </w:r>
      <w:r w:rsidRPr="004F24F9">
        <w:rPr>
          <w:rFonts w:cs="Times New Roman"/>
          <w:sz w:val="24"/>
          <w:szCs w:val="24"/>
        </w:rPr>
        <w:t xml:space="preserve"> đồng (11/11 huyện, thành phố đều ưu tiên bố trí ngân sách ủy thác qua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w:t>
      </w:r>
      <w:sdt>
        <w:sdtPr>
          <w:rPr>
            <w:rFonts w:cs="Times New Roman"/>
            <w:sz w:val="24"/>
            <w:szCs w:val="24"/>
          </w:rPr>
          <w:id w:val="148947628"/>
          <w:citation/>
        </w:sdtPr>
        <w:sdtEndPr/>
        <w:sdtContent>
          <w:r w:rsidRPr="004F24F9">
            <w:rPr>
              <w:rFonts w:cs="Times New Roman"/>
              <w:sz w:val="24"/>
              <w:szCs w:val="24"/>
            </w:rPr>
            <w:fldChar w:fldCharType="begin"/>
          </w:r>
          <w:r w:rsidR="008F2359" w:rsidRPr="004F24F9">
            <w:rPr>
              <w:rFonts w:cs="Times New Roman"/>
              <w:sz w:val="24"/>
              <w:szCs w:val="24"/>
            </w:rPr>
            <w:instrText xml:space="preserve">CITATION Ngâ22 \l 1033 </w:instrText>
          </w:r>
          <w:r w:rsidRPr="004F24F9">
            <w:rPr>
              <w:rFonts w:cs="Times New Roman"/>
              <w:sz w:val="24"/>
              <w:szCs w:val="24"/>
            </w:rPr>
            <w:fldChar w:fldCharType="separate"/>
          </w:r>
          <w:r w:rsidR="008F2359" w:rsidRPr="004F24F9">
            <w:rPr>
              <w:rFonts w:cs="Times New Roman"/>
              <w:noProof/>
              <w:sz w:val="24"/>
              <w:szCs w:val="24"/>
            </w:rPr>
            <w:t xml:space="preserve"> (Chi nhánh Ngân hàng chính sách xã hội tỉnh Đồng Nai, 2022)</w:t>
          </w:r>
          <w:r w:rsidRPr="004F24F9">
            <w:rPr>
              <w:rFonts w:cs="Times New Roman"/>
              <w:sz w:val="24"/>
              <w:szCs w:val="24"/>
            </w:rPr>
            <w:fldChar w:fldCharType="end"/>
          </w:r>
        </w:sdtContent>
      </w:sdt>
      <w:r w:rsidRPr="004F24F9">
        <w:rPr>
          <w:rFonts w:cs="Times New Roman"/>
          <w:sz w:val="24"/>
          <w:szCs w:val="24"/>
        </w:rPr>
        <w:t>.</w:t>
      </w:r>
    </w:p>
    <w:p w14:paraId="082F9B25" w14:textId="4E037002" w:rsidR="009E4C91" w:rsidRPr="004F24F9" w:rsidRDefault="009E4C91" w:rsidP="0085219B">
      <w:pPr>
        <w:spacing w:line="320" w:lineRule="exact"/>
        <w:ind w:firstLine="397"/>
        <w:jc w:val="both"/>
        <w:rPr>
          <w:rFonts w:cs="Times New Roman"/>
          <w:sz w:val="24"/>
          <w:szCs w:val="24"/>
        </w:rPr>
      </w:pPr>
      <w:r w:rsidRPr="004F24F9">
        <w:rPr>
          <w:rFonts w:cs="Times New Roman"/>
          <w:sz w:val="24"/>
          <w:szCs w:val="24"/>
        </w:rPr>
        <w:t xml:space="preserve">Sự tăng trưởng về quy mô và </w:t>
      </w:r>
      <w:r w:rsidR="005D28C8" w:rsidRPr="004F24F9">
        <w:rPr>
          <w:rFonts w:cs="Times New Roman"/>
          <w:sz w:val="24"/>
          <w:szCs w:val="24"/>
        </w:rPr>
        <w:t>tỉ</w:t>
      </w:r>
      <w:r w:rsidRPr="004F24F9">
        <w:rPr>
          <w:rFonts w:cs="Times New Roman"/>
          <w:sz w:val="24"/>
          <w:szCs w:val="24"/>
        </w:rPr>
        <w:t xml:space="preserve"> trọng của vốn </w:t>
      </w:r>
      <w:r w:rsidRPr="004F24F9">
        <w:rPr>
          <w:rFonts w:cs="Times New Roman"/>
          <w:spacing w:val="-2"/>
          <w:sz w:val="24"/>
          <w:szCs w:val="24"/>
        </w:rPr>
        <w:t xml:space="preserve">huy động những năm qua đã giúp cho NHCSXH tỉnh có đủ nguồn lực để triển khai nhiều chương trình tín dụng dành cho người nghèo và các đối tượng yếu thế trong xã hội.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pacing w:val="-2"/>
          <w:sz w:val="24"/>
          <w:szCs w:val="24"/>
        </w:rPr>
        <w:t xml:space="preserve"> đã từng bước triển khai nhiều các chương trình tín dụ</w:t>
      </w:r>
      <w:r w:rsidR="00B37B08" w:rsidRPr="004F24F9">
        <w:rPr>
          <w:rFonts w:cs="Times New Roman"/>
          <w:spacing w:val="-2"/>
          <w:sz w:val="24"/>
          <w:szCs w:val="24"/>
        </w:rPr>
        <w:t xml:space="preserve">ng chính sách khác nhau; </w:t>
      </w:r>
      <w:r w:rsidRPr="004F24F9">
        <w:rPr>
          <w:rFonts w:cs="Times New Roman"/>
          <w:spacing w:val="-2"/>
          <w:sz w:val="24"/>
          <w:szCs w:val="24"/>
        </w:rPr>
        <w:t>đến hết năm 2023, tổng dư nợ của các chương trình tín dụng này đã lên đến 4.986.721 triệu đồng, gấp gần 2 lần so với dư nợ tại thời điểm đầu năm 2019 (2.534.040 triệu đồng</w:t>
      </w:r>
      <w:r w:rsidRPr="004F24F9">
        <w:rPr>
          <w:rFonts w:cs="Times New Roman"/>
          <w:sz w:val="24"/>
          <w:szCs w:val="24"/>
        </w:rPr>
        <w:t>).</w:t>
      </w:r>
    </w:p>
    <w:p w14:paraId="255F8095" w14:textId="7B89CCE6" w:rsidR="009E4C91" w:rsidRPr="004F24F9" w:rsidRDefault="009E4C91" w:rsidP="0085219B">
      <w:pPr>
        <w:spacing w:line="320" w:lineRule="exact"/>
        <w:ind w:firstLine="397"/>
        <w:jc w:val="both"/>
        <w:rPr>
          <w:rFonts w:cs="Times New Roman"/>
          <w:sz w:val="24"/>
          <w:szCs w:val="24"/>
        </w:rPr>
      </w:pPr>
      <w:r w:rsidRPr="004F24F9">
        <w:rPr>
          <w:rFonts w:cs="Times New Roman"/>
          <w:sz w:val="24"/>
          <w:szCs w:val="24"/>
        </w:rPr>
        <w:t xml:space="preserve">Cùng với sự tăng trưởng mạnh mẽ về quy mô, đáp ứng yêu cầu về việc mở rộng các cho vay đối với các chương trình tín dụng chính sách, hoạt động huy động vốn của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thời gian qua cũng có một số ưu điểm khác đáng ghi nhận, như: Cơ cấu vốn huy động ngày càng đa dạng hóa với sự bổ sung của các hình thức huy động vốn mới như: nhận tiền gửi của tổ viên tổ tiết kiệm và vay vốn (từ năm 2005); nguồn vốn chi phí thấp và </w:t>
      </w:r>
      <w:r w:rsidR="00C230F8" w:rsidRPr="004F24F9">
        <w:rPr>
          <w:rFonts w:cs="Times New Roman"/>
          <w:sz w:val="24"/>
          <w:szCs w:val="24"/>
        </w:rPr>
        <w:t>kì</w:t>
      </w:r>
      <w:r w:rsidRPr="004F24F9">
        <w:rPr>
          <w:rFonts w:cs="Times New Roman"/>
          <w:sz w:val="24"/>
          <w:szCs w:val="24"/>
        </w:rPr>
        <w:t xml:space="preserve"> hạn dài tăng trưởng mạnh cả về quy mô và </w:t>
      </w:r>
      <w:r w:rsidR="005D28C8" w:rsidRPr="004F24F9">
        <w:rPr>
          <w:rFonts w:cs="Times New Roman"/>
          <w:sz w:val="24"/>
          <w:szCs w:val="24"/>
        </w:rPr>
        <w:t>tỉ</w:t>
      </w:r>
      <w:r w:rsidRPr="004F24F9">
        <w:rPr>
          <w:rFonts w:cs="Times New Roman"/>
          <w:sz w:val="24"/>
          <w:szCs w:val="24"/>
        </w:rPr>
        <w:t xml:space="preserve"> trọng, phù hợp với yêu cầu về thời hạn và lãi suất cho vay của các chương trình tín dụng chính sách; </w:t>
      </w:r>
      <w:r w:rsidR="005D28C8" w:rsidRPr="004F24F9">
        <w:rPr>
          <w:rFonts w:cs="Times New Roman"/>
          <w:sz w:val="24"/>
          <w:szCs w:val="24"/>
        </w:rPr>
        <w:t>tỉ</w:t>
      </w:r>
      <w:r w:rsidRPr="004F24F9">
        <w:rPr>
          <w:rFonts w:cs="Times New Roman"/>
          <w:sz w:val="24"/>
          <w:szCs w:val="24"/>
        </w:rPr>
        <w:t xml:space="preserve"> trọng một số loại vốn huy động từ thị </w:t>
      </w:r>
      <w:r w:rsidRPr="004F24F9">
        <w:rPr>
          <w:rFonts w:cs="Times New Roman"/>
          <w:sz w:val="24"/>
          <w:szCs w:val="24"/>
        </w:rPr>
        <w:lastRenderedPageBreak/>
        <w:t xml:space="preserve">trường (tiết kiệm của dân cư, tiền gửi của tổ viên Tổ tiết kiệm và vay vốn) có xu hướng tăng lên, tạo thêm sự chủ động cho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và giảm bớt phụ thuộc vào các nguồn vốn có nguồn gốc từ ngân sách nhà nước… Thêm vào đó, </w:t>
      </w:r>
      <w:r w:rsidR="005D28C8" w:rsidRPr="004F24F9">
        <w:rPr>
          <w:rFonts w:cs="Times New Roman"/>
          <w:sz w:val="24"/>
          <w:szCs w:val="24"/>
        </w:rPr>
        <w:t>tỉ</w:t>
      </w:r>
      <w:r w:rsidRPr="004F24F9">
        <w:rPr>
          <w:rFonts w:cs="Times New Roman"/>
          <w:sz w:val="24"/>
          <w:szCs w:val="24"/>
        </w:rPr>
        <w:t xml:space="preserve"> lệ chi phí huy động vốn tính trên số vốn huy động của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trong những năm gần đây cũng có xu hướng giảm dần và được kiểm soát ở mức thấp hơn đáng kể so với mặt bằng lãi suất huy động vốn trên thị trường. Điều đó cho thấy hiệu quả sử dụng chi phí huy động vốn ngày càng được nâng cao, góp phần giảm </w:t>
      </w:r>
      <w:r w:rsidR="005D28C8" w:rsidRPr="004F24F9">
        <w:rPr>
          <w:rFonts w:cs="Times New Roman"/>
          <w:sz w:val="24"/>
          <w:szCs w:val="24"/>
        </w:rPr>
        <w:t>tỉ</w:t>
      </w:r>
      <w:r w:rsidRPr="004F24F9">
        <w:rPr>
          <w:rFonts w:cs="Times New Roman"/>
          <w:sz w:val="24"/>
          <w:szCs w:val="24"/>
        </w:rPr>
        <w:t xml:space="preserve"> lệ cấp bù chênh lệch lãi suất từ ngân sách nhà nước đối với hoạt động của NHCSXH tỉnh.</w:t>
      </w:r>
    </w:p>
    <w:p w14:paraId="5BD49910" w14:textId="77777777" w:rsidR="009E4C91" w:rsidRPr="004F24F9" w:rsidRDefault="009E4C91" w:rsidP="0085219B">
      <w:pPr>
        <w:spacing w:line="320" w:lineRule="exact"/>
        <w:jc w:val="both"/>
        <w:outlineLvl w:val="0"/>
        <w:rPr>
          <w:rFonts w:cs="Times New Roman"/>
          <w:i/>
          <w:spacing w:val="4"/>
          <w:sz w:val="24"/>
          <w:szCs w:val="24"/>
        </w:rPr>
      </w:pPr>
      <w:bookmarkStart w:id="36" w:name="_Toc182080869"/>
      <w:r w:rsidRPr="004F24F9">
        <w:rPr>
          <w:rFonts w:cs="Times New Roman"/>
          <w:i/>
          <w:spacing w:val="4"/>
          <w:sz w:val="24"/>
          <w:szCs w:val="24"/>
        </w:rPr>
        <w:t>2.3.2. Hiệu quả kinh tế và xã hội ngày càng lớn</w:t>
      </w:r>
      <w:bookmarkEnd w:id="36"/>
    </w:p>
    <w:p w14:paraId="0600D8DA" w14:textId="560A3B7D" w:rsidR="009E4C91" w:rsidRPr="004F24F9" w:rsidRDefault="009E4C91" w:rsidP="0085219B">
      <w:pPr>
        <w:spacing w:line="320" w:lineRule="exact"/>
        <w:ind w:firstLine="397"/>
        <w:jc w:val="both"/>
        <w:rPr>
          <w:rFonts w:cs="Times New Roman"/>
          <w:bCs/>
          <w:sz w:val="24"/>
          <w:szCs w:val="24"/>
          <w:lang w:val="pt-BR"/>
        </w:rPr>
      </w:pPr>
      <w:r w:rsidRPr="004F24F9">
        <w:rPr>
          <w:rFonts w:cs="Times New Roman"/>
          <w:sz w:val="24"/>
          <w:szCs w:val="24"/>
        </w:rPr>
        <w:t xml:space="preserve">Nguồn vốn tín dụng chính sách đã phát huy vai trò là công cụ đòn bẩy kinh tế quan trọng, giúp các địa phương có thêm nguồn lực thúc đẩy phát triển kinh tế, khai thác tiềm năng, thế mạnh, tác động tích cực đối với việc chuyển dịch cơ cấu kinh tế của </w:t>
      </w:r>
      <w:r w:rsidR="00155B32" w:rsidRPr="004F24F9">
        <w:rPr>
          <w:rFonts w:cs="Times New Roman"/>
          <w:sz w:val="24"/>
          <w:szCs w:val="24"/>
          <w:lang w:val="en-US"/>
        </w:rPr>
        <w:t>t</w:t>
      </w:r>
      <w:r w:rsidRPr="004F24F9">
        <w:rPr>
          <w:rFonts w:cs="Times New Roman"/>
          <w:sz w:val="24"/>
          <w:szCs w:val="24"/>
        </w:rPr>
        <w:t xml:space="preserve">ỉnh theo hướng công nghiệp hóa, hiện đại hóa nông nghiệp, nông thôn. Khuyến khích người nghèo và các đối tượng chính sách được tiếp cận vốn tín dụng ưu đãi của Nhà nước, từng bước nâng cao trình độ quản lí vốn theo hướng sản xuất hàng hóa, phát triển sản xuất, kinh doanh, mạnh dạn vay vốn và sử dụng vốn hiệu quả, góp phần nâng cao thu nhập, cải thiện chất lượng cuộc sống, thu hẹp khoảng cách giàu nghèo, vươn lên thoát nghèo. Thông qua các chương trình tín dụng chính sách xã hội, các đối tượng thụ hưởng còn có điều kiện </w:t>
      </w:r>
      <w:r w:rsidRPr="004F24F9">
        <w:rPr>
          <w:rFonts w:cs="Times New Roman"/>
          <w:sz w:val="24"/>
          <w:szCs w:val="24"/>
        </w:rPr>
        <w:lastRenderedPageBreak/>
        <w:t>trang trải chi phí học tập, xây dựng nhà ở, công trình nước sạch, nhà tiêu hợp vệ sinh; nâng cao chất lượng cuộc sống, giảm bệnh tật; làm thay đổi nhận thức của người nghèo, hộ đồng bào dân tộc thiểu số, giúp họ thêm tự tin, tăng dần vị thế trong xã hội, góp phần quan trọng trong thực hiện Chương trình mục tiêu quốc gia về giảm nghèo bền vững, phát triển kinh tế - xã hội.</w:t>
      </w:r>
      <w:r w:rsidRPr="004F24F9">
        <w:rPr>
          <w:rFonts w:cs="Times New Roman"/>
          <w:sz w:val="24"/>
          <w:szCs w:val="24"/>
          <w:lang w:val="pt-BR"/>
        </w:rPr>
        <w:t xml:space="preserve"> Năm 2023, nguồn v</w:t>
      </w:r>
      <w:r w:rsidRPr="004F24F9">
        <w:rPr>
          <w:rFonts w:cs="Times New Roman"/>
          <w:bCs/>
          <w:sz w:val="24"/>
          <w:szCs w:val="24"/>
          <w:lang w:val="pt-BR"/>
        </w:rPr>
        <w:t>ốn tín dụng chính sách xã hội đã tạo điều kiện giúp 48.632</w:t>
      </w:r>
      <w:r w:rsidRPr="004F24F9">
        <w:rPr>
          <w:rFonts w:cs="Times New Roman"/>
          <w:sz w:val="24"/>
          <w:szCs w:val="24"/>
          <w:lang w:val="pt-BR"/>
        </w:rPr>
        <w:t xml:space="preserve"> </w:t>
      </w:r>
      <w:r w:rsidRPr="004F24F9">
        <w:rPr>
          <w:rFonts w:cs="Times New Roman"/>
          <w:bCs/>
          <w:sz w:val="24"/>
          <w:szCs w:val="24"/>
          <w:lang w:val="pt-BR"/>
        </w:rPr>
        <w:t>hộ nghèo, hộ cận nghèo và các đối tượng chính sách khác vay số tiền hơn 2.029.310</w:t>
      </w:r>
      <w:r w:rsidRPr="004F24F9">
        <w:rPr>
          <w:rFonts w:cs="Times New Roman"/>
          <w:sz w:val="24"/>
          <w:szCs w:val="24"/>
          <w:lang w:val="pt-BR"/>
        </w:rPr>
        <w:t xml:space="preserve"> </w:t>
      </w:r>
      <w:r w:rsidRPr="004F24F9">
        <w:rPr>
          <w:rFonts w:cs="Times New Roman"/>
          <w:sz w:val="24"/>
          <w:szCs w:val="24"/>
        </w:rPr>
        <w:t>triệu đồng</w:t>
      </w:r>
      <w:r w:rsidRPr="004F24F9">
        <w:rPr>
          <w:rFonts w:cs="Times New Roman"/>
          <w:bCs/>
          <w:sz w:val="24"/>
          <w:szCs w:val="24"/>
          <w:lang w:val="pt-BR"/>
        </w:rPr>
        <w:t xml:space="preserve"> để tổ chức sản xuất kinh doanh, phục vụ nhu cầu thiết yếu, </w:t>
      </w:r>
      <w:r w:rsidRPr="004F24F9">
        <w:rPr>
          <w:rFonts w:cs="Times New Roman"/>
          <w:sz w:val="24"/>
          <w:szCs w:val="24"/>
        </w:rPr>
        <w:t>tạo việc làm, cải thiện thu nhập và điều kiện sống</w:t>
      </w:r>
      <w:r w:rsidRPr="004F24F9">
        <w:rPr>
          <w:rFonts w:cs="Times New Roman"/>
          <w:bCs/>
          <w:sz w:val="24"/>
          <w:szCs w:val="24"/>
          <w:lang w:val="pt-BR"/>
        </w:rPr>
        <w:t xml:space="preserve">. Qua đó, đã góp phần cùng với các giải pháp của các cấp, các ngành duy trì và tạo việc làm mới cho 22.416 lao động </w:t>
      </w:r>
      <w:sdt>
        <w:sdtPr>
          <w:rPr>
            <w:rFonts w:cs="Times New Roman"/>
            <w:bCs/>
            <w:sz w:val="24"/>
            <w:szCs w:val="24"/>
            <w:lang w:val="pt-BR"/>
          </w:rPr>
          <w:id w:val="1793940715"/>
          <w:citation/>
        </w:sdtPr>
        <w:sdtEndPr/>
        <w:sdtContent>
          <w:r w:rsidRPr="004F24F9">
            <w:rPr>
              <w:rFonts w:cs="Times New Roman"/>
              <w:bCs/>
              <w:sz w:val="24"/>
              <w:szCs w:val="24"/>
              <w:lang w:val="pt-BR"/>
            </w:rPr>
            <w:fldChar w:fldCharType="begin"/>
          </w:r>
          <w:r w:rsidR="00BE3D57" w:rsidRPr="004F24F9">
            <w:rPr>
              <w:rFonts w:cs="Times New Roman"/>
              <w:bCs/>
              <w:sz w:val="24"/>
              <w:szCs w:val="24"/>
            </w:rPr>
            <w:instrText xml:space="preserve">CITATION Ngâ24 \l 1033 </w:instrText>
          </w:r>
          <w:r w:rsidRPr="004F24F9">
            <w:rPr>
              <w:rFonts w:cs="Times New Roman"/>
              <w:bCs/>
              <w:sz w:val="24"/>
              <w:szCs w:val="24"/>
              <w:lang w:val="pt-BR"/>
            </w:rPr>
            <w:fldChar w:fldCharType="separate"/>
          </w:r>
          <w:r w:rsidR="00BE3D57" w:rsidRPr="004F24F9">
            <w:rPr>
              <w:rFonts w:cs="Times New Roman"/>
              <w:noProof/>
              <w:sz w:val="24"/>
              <w:szCs w:val="24"/>
            </w:rPr>
            <w:t>(Chi nhánh Ngân hàng Chính sách xã hội tỉnh Đồng Nai, 2024a)</w:t>
          </w:r>
          <w:r w:rsidRPr="004F24F9">
            <w:rPr>
              <w:rFonts w:cs="Times New Roman"/>
              <w:bCs/>
              <w:sz w:val="24"/>
              <w:szCs w:val="24"/>
              <w:lang w:val="pt-BR"/>
            </w:rPr>
            <w:fldChar w:fldCharType="end"/>
          </w:r>
        </w:sdtContent>
      </w:sdt>
      <w:r w:rsidRPr="004F24F9">
        <w:rPr>
          <w:rFonts w:cs="Times New Roman"/>
          <w:bCs/>
          <w:sz w:val="24"/>
          <w:szCs w:val="24"/>
          <w:lang w:val="pt-BR"/>
        </w:rPr>
        <w:t xml:space="preserve">. </w:t>
      </w:r>
    </w:p>
    <w:p w14:paraId="698BD518" w14:textId="725E7392" w:rsidR="009E4C91" w:rsidRPr="004F24F9" w:rsidRDefault="009E4C91" w:rsidP="0085219B">
      <w:pPr>
        <w:spacing w:line="320" w:lineRule="exact"/>
        <w:ind w:firstLine="397"/>
        <w:jc w:val="both"/>
        <w:rPr>
          <w:rFonts w:cs="Times New Roman"/>
          <w:sz w:val="24"/>
          <w:szCs w:val="24"/>
        </w:rPr>
      </w:pPr>
      <w:r w:rsidRPr="004F24F9">
        <w:rPr>
          <w:rFonts w:cs="Times New Roman"/>
          <w:bCs/>
          <w:sz w:val="24"/>
          <w:szCs w:val="24"/>
          <w:lang w:val="pt-BR"/>
        </w:rPr>
        <w:t xml:space="preserve">Vốn tín dụng ưu đãi đã góp phần tích cực cùng các cấp, các ngành thực hiện hiệu quả các chương trình mục tiêu quốc gia về giảm nghèo bền vững, xây dựng nông thôn nâng cao, nông thôn mới kiểu mẫu, phục hồi và phát triển kinh tế - xã hội, đảm bảo an sinh xã hội, trật tự an toàn xã hội trên địa bàn tỉnh. Cụ thể,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bCs/>
          <w:sz w:val="24"/>
          <w:szCs w:val="24"/>
          <w:lang w:val="pt-BR"/>
        </w:rPr>
        <w:t xml:space="preserve"> đã giúp góp phần giúp </w:t>
      </w:r>
      <w:r w:rsidRPr="004F24F9">
        <w:rPr>
          <w:rFonts w:cs="Times New Roman"/>
          <w:sz w:val="24"/>
          <w:szCs w:val="24"/>
          <w:lang w:val="pt-BR"/>
        </w:rPr>
        <w:t xml:space="preserve">2.691 </w:t>
      </w:r>
      <w:r w:rsidRPr="004F24F9">
        <w:rPr>
          <w:rFonts w:cs="Times New Roman"/>
          <w:bCs/>
          <w:sz w:val="24"/>
          <w:szCs w:val="24"/>
          <w:lang w:val="pt-BR"/>
        </w:rPr>
        <w:t>hộ nghèo, hộ cận nghèo vượt ngưỡng nghèo; giúp 18.805 hộ gia đình khu vực nông thôn xây dựng, cải tạo 18.805 công trình nước sạch và 18.578 công trình nhà vệ sinh; 5.172 lượt học sinh, sinh viên có hoàn cảnh khó khăn vay vốn phục vụ học tập</w:t>
      </w:r>
      <w:sdt>
        <w:sdtPr>
          <w:rPr>
            <w:rFonts w:cs="Times New Roman"/>
            <w:bCs/>
            <w:sz w:val="24"/>
            <w:szCs w:val="24"/>
            <w:lang w:val="pt-BR"/>
          </w:rPr>
          <w:id w:val="1338268555"/>
          <w:citation/>
        </w:sdtPr>
        <w:sdtEndPr/>
        <w:sdtContent>
          <w:r w:rsidRPr="004F24F9">
            <w:rPr>
              <w:rFonts w:cs="Times New Roman"/>
              <w:bCs/>
              <w:sz w:val="24"/>
              <w:szCs w:val="24"/>
              <w:lang w:val="pt-BR"/>
            </w:rPr>
            <w:fldChar w:fldCharType="begin"/>
          </w:r>
          <w:r w:rsidR="00BE3D57" w:rsidRPr="004F24F9">
            <w:rPr>
              <w:rFonts w:cs="Times New Roman"/>
              <w:bCs/>
              <w:sz w:val="24"/>
              <w:szCs w:val="24"/>
            </w:rPr>
            <w:instrText xml:space="preserve">CITATION Ngâ24 \l 1033 </w:instrText>
          </w:r>
          <w:r w:rsidRPr="004F24F9">
            <w:rPr>
              <w:rFonts w:cs="Times New Roman"/>
              <w:bCs/>
              <w:sz w:val="24"/>
              <w:szCs w:val="24"/>
              <w:lang w:val="pt-BR"/>
            </w:rPr>
            <w:fldChar w:fldCharType="separate"/>
          </w:r>
          <w:r w:rsidR="00BE3D57" w:rsidRPr="004F24F9">
            <w:rPr>
              <w:rFonts w:cs="Times New Roman"/>
              <w:bCs/>
              <w:noProof/>
              <w:sz w:val="24"/>
              <w:szCs w:val="24"/>
            </w:rPr>
            <w:t xml:space="preserve"> </w:t>
          </w:r>
          <w:r w:rsidR="00BE3D57" w:rsidRPr="004F24F9">
            <w:rPr>
              <w:rFonts w:cs="Times New Roman"/>
              <w:noProof/>
              <w:sz w:val="24"/>
              <w:szCs w:val="24"/>
            </w:rPr>
            <w:t xml:space="preserve">(Chi nhánh Ngân hàng Chính sách xã hội tỉnh Đồng </w:t>
          </w:r>
          <w:r w:rsidR="00BE3D57" w:rsidRPr="004F24F9">
            <w:rPr>
              <w:rFonts w:cs="Times New Roman"/>
              <w:noProof/>
              <w:sz w:val="24"/>
              <w:szCs w:val="24"/>
            </w:rPr>
            <w:lastRenderedPageBreak/>
            <w:t>Nai, 2024a)</w:t>
          </w:r>
          <w:r w:rsidRPr="004F24F9">
            <w:rPr>
              <w:rFonts w:cs="Times New Roman"/>
              <w:bCs/>
              <w:sz w:val="24"/>
              <w:szCs w:val="24"/>
              <w:lang w:val="pt-BR"/>
            </w:rPr>
            <w:fldChar w:fldCharType="end"/>
          </w:r>
        </w:sdtContent>
      </w:sdt>
      <w:r w:rsidRPr="004F24F9">
        <w:rPr>
          <w:rFonts w:cs="Times New Roman"/>
          <w:sz w:val="24"/>
          <w:szCs w:val="24"/>
        </w:rPr>
        <w:t>. Đến nay, toàn tỉnh có 120/120 xã được công nhận xã nông thôn mới, trong đó có 105 xã đạt chuẩn nông thôn mới nâng cao, 27 xã nông thôn mới kiểu mẫu, 01 huyện đạt nông thôn mới nâng cao</w:t>
      </w:r>
      <w:sdt>
        <w:sdtPr>
          <w:rPr>
            <w:rFonts w:cs="Times New Roman"/>
            <w:sz w:val="24"/>
            <w:szCs w:val="24"/>
          </w:rPr>
          <w:id w:val="-840695430"/>
          <w:citation/>
        </w:sdtPr>
        <w:sdtEndPr/>
        <w:sdtContent>
          <w:r w:rsidRPr="004F24F9">
            <w:rPr>
              <w:rFonts w:cs="Times New Roman"/>
              <w:sz w:val="24"/>
              <w:szCs w:val="24"/>
            </w:rPr>
            <w:fldChar w:fldCharType="begin"/>
          </w:r>
          <w:r w:rsidRPr="004F24F9">
            <w:rPr>
              <w:rFonts w:cs="Times New Roman"/>
              <w:sz w:val="24"/>
              <w:szCs w:val="24"/>
            </w:rPr>
            <w:instrText xml:space="preserve"> CITATION Ủyb24 \l 1033 </w:instrText>
          </w:r>
          <w:r w:rsidRPr="004F24F9">
            <w:rPr>
              <w:rFonts w:cs="Times New Roman"/>
              <w:sz w:val="24"/>
              <w:szCs w:val="24"/>
            </w:rPr>
            <w:fldChar w:fldCharType="separate"/>
          </w:r>
          <w:r w:rsidRPr="004F24F9">
            <w:rPr>
              <w:rFonts w:cs="Times New Roman"/>
              <w:sz w:val="24"/>
              <w:szCs w:val="24"/>
            </w:rPr>
            <w:t xml:space="preserve"> (Ủy ban nhân dân tỉnh Đồng Nai, 2024)</w:t>
          </w:r>
          <w:r w:rsidRPr="004F24F9">
            <w:rPr>
              <w:rFonts w:cs="Times New Roman"/>
              <w:sz w:val="24"/>
              <w:szCs w:val="24"/>
            </w:rPr>
            <w:fldChar w:fldCharType="end"/>
          </w:r>
        </w:sdtContent>
      </w:sdt>
      <w:r w:rsidRPr="004F24F9">
        <w:rPr>
          <w:rFonts w:cs="Times New Roman"/>
          <w:sz w:val="24"/>
          <w:szCs w:val="24"/>
        </w:rPr>
        <w:t>.</w:t>
      </w:r>
    </w:p>
    <w:p w14:paraId="347AF8E0" w14:textId="7DED5238" w:rsidR="009E4C91" w:rsidRPr="004F24F9" w:rsidRDefault="00D8706A" w:rsidP="0085219B">
      <w:pPr>
        <w:spacing w:line="320" w:lineRule="exact"/>
        <w:jc w:val="both"/>
        <w:outlineLvl w:val="0"/>
        <w:rPr>
          <w:rStyle w:val="fontstyle01"/>
          <w:i/>
          <w:color w:val="auto"/>
          <w:sz w:val="24"/>
          <w:szCs w:val="24"/>
        </w:rPr>
      </w:pPr>
      <w:r w:rsidRPr="004F24F9">
        <w:rPr>
          <w:rFonts w:cs="Times New Roman"/>
          <w:i/>
          <w:sz w:val="24"/>
          <w:szCs w:val="24"/>
        </w:rPr>
        <w:t>2.3.3. Một số hạn chế của n</w:t>
      </w:r>
      <w:r w:rsidR="009E4C91" w:rsidRPr="004F24F9">
        <w:rPr>
          <w:rFonts w:cs="Times New Roman"/>
          <w:i/>
          <w:sz w:val="24"/>
          <w:szCs w:val="24"/>
        </w:rPr>
        <w:t>guồn vốn ủy thác từ ngân sách đị</w:t>
      </w:r>
      <w:r w:rsidRPr="004F24F9">
        <w:rPr>
          <w:rFonts w:cs="Times New Roman"/>
          <w:i/>
          <w:sz w:val="24"/>
          <w:szCs w:val="24"/>
        </w:rPr>
        <w:t>a phương</w:t>
      </w:r>
    </w:p>
    <w:bookmarkEnd w:id="13"/>
    <w:bookmarkEnd w:id="18"/>
    <w:p w14:paraId="6CAA6637" w14:textId="766B38F6" w:rsidR="009E4C91" w:rsidRPr="004F24F9" w:rsidRDefault="009E4C91" w:rsidP="0085219B">
      <w:pPr>
        <w:spacing w:line="320" w:lineRule="exact"/>
        <w:ind w:firstLine="397"/>
        <w:jc w:val="both"/>
        <w:rPr>
          <w:rStyle w:val="fontstyle21"/>
          <w:rFonts w:ascii="Times New Roman" w:hAnsi="Times New Roman" w:cs="Times New Roman"/>
          <w:color w:val="auto"/>
          <w:sz w:val="24"/>
          <w:szCs w:val="24"/>
        </w:rPr>
      </w:pPr>
      <w:r w:rsidRPr="004F24F9">
        <w:rPr>
          <w:rStyle w:val="fontstyle21"/>
          <w:rFonts w:ascii="Times New Roman" w:hAnsi="Times New Roman" w:cs="Times New Roman"/>
          <w:color w:val="auto"/>
          <w:sz w:val="24"/>
          <w:szCs w:val="24"/>
        </w:rPr>
        <w:t xml:space="preserve">Nguồn vốn ủy thác của Tỉnh sang bên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Style w:val="fontstyle21"/>
          <w:rFonts w:ascii="Times New Roman" w:hAnsi="Times New Roman" w:cs="Times New Roman"/>
          <w:color w:val="auto"/>
          <w:sz w:val="24"/>
          <w:szCs w:val="24"/>
        </w:rPr>
        <w:t xml:space="preserve"> ngày càng lớn nhưng chưa đáp ứng yêu cầu vay vốn hoặc nguồn vốn chưa được ủy thác kịp thời để cho vay của nhiều đối tượng có nhu cầu và đủ điều kiện vay vốn. Theo báo cáo để xuất của NHCSXH tỉnh Đồng Nai</w:t>
      </w:r>
      <w:r w:rsidR="00A30B7E" w:rsidRPr="004F24F9">
        <w:rPr>
          <w:rStyle w:val="fontstyle21"/>
          <w:rFonts w:ascii="Times New Roman" w:hAnsi="Times New Roman" w:cs="Times New Roman"/>
          <w:color w:val="auto"/>
          <w:sz w:val="24"/>
          <w:szCs w:val="24"/>
          <w:lang w:val="en-US"/>
        </w:rPr>
        <w:t>,</w:t>
      </w:r>
      <w:r w:rsidRPr="004F24F9">
        <w:rPr>
          <w:rStyle w:val="fontstyle21"/>
          <w:rFonts w:ascii="Times New Roman" w:hAnsi="Times New Roman" w:cs="Times New Roman"/>
          <w:color w:val="auto"/>
          <w:sz w:val="24"/>
          <w:szCs w:val="24"/>
        </w:rPr>
        <w:t xml:space="preserve"> đến tháng 9/2024, có tổng số 53 hộ có người chấp hành xong án phạt tù đủ điều kiện vay vốn nhưng mới có 29 hộ được vay vốn, còn lại 24 hộ chưa được vay do chưa có vốn</w:t>
      </w:r>
      <w:sdt>
        <w:sdtPr>
          <w:rPr>
            <w:rStyle w:val="fontstyle21"/>
            <w:rFonts w:ascii="Times New Roman" w:hAnsi="Times New Roman" w:cs="Times New Roman"/>
            <w:color w:val="auto"/>
            <w:sz w:val="24"/>
            <w:szCs w:val="24"/>
          </w:rPr>
          <w:id w:val="-355738374"/>
          <w:citation/>
        </w:sdtPr>
        <w:sdtEndPr>
          <w:rPr>
            <w:rStyle w:val="fontstyle21"/>
          </w:rPr>
        </w:sdtEndPr>
        <w:sdtContent>
          <w:r w:rsidR="009B7BFD" w:rsidRPr="004F24F9">
            <w:rPr>
              <w:rStyle w:val="fontstyle21"/>
              <w:rFonts w:ascii="Times New Roman" w:hAnsi="Times New Roman" w:cs="Times New Roman"/>
              <w:color w:val="auto"/>
              <w:sz w:val="24"/>
              <w:szCs w:val="24"/>
            </w:rPr>
            <w:fldChar w:fldCharType="begin"/>
          </w:r>
          <w:r w:rsidR="00BE3D57" w:rsidRPr="004F24F9">
            <w:rPr>
              <w:rStyle w:val="fontstyle21"/>
              <w:rFonts w:ascii="Times New Roman" w:hAnsi="Times New Roman" w:cs="Times New Roman"/>
              <w:color w:val="auto"/>
              <w:sz w:val="24"/>
              <w:szCs w:val="24"/>
            </w:rPr>
            <w:instrText xml:space="preserve">CITATION Chi24 \l 1066 </w:instrText>
          </w:r>
          <w:r w:rsidR="009B7BFD" w:rsidRPr="004F24F9">
            <w:rPr>
              <w:rStyle w:val="fontstyle21"/>
              <w:rFonts w:ascii="Times New Roman" w:hAnsi="Times New Roman" w:cs="Times New Roman"/>
              <w:color w:val="auto"/>
              <w:sz w:val="24"/>
              <w:szCs w:val="24"/>
            </w:rPr>
            <w:fldChar w:fldCharType="separate"/>
          </w:r>
          <w:r w:rsidR="00BE3D57" w:rsidRPr="004F24F9">
            <w:rPr>
              <w:rStyle w:val="fontstyle21"/>
              <w:rFonts w:ascii="Times New Roman" w:hAnsi="Times New Roman" w:cs="Times New Roman"/>
              <w:noProof/>
              <w:color w:val="auto"/>
              <w:sz w:val="24"/>
              <w:szCs w:val="24"/>
            </w:rPr>
            <w:t xml:space="preserve"> </w:t>
          </w:r>
          <w:r w:rsidR="00BE3D57" w:rsidRPr="004F24F9">
            <w:rPr>
              <w:rFonts w:cs="Times New Roman"/>
              <w:noProof/>
              <w:sz w:val="24"/>
              <w:szCs w:val="24"/>
            </w:rPr>
            <w:t>(Chi nhánh Ngân hàng Chính sách xã hội tỉnh Đồng Nai, 2024b)</w:t>
          </w:r>
          <w:r w:rsidR="009B7BFD" w:rsidRPr="004F24F9">
            <w:rPr>
              <w:rStyle w:val="fontstyle21"/>
              <w:rFonts w:ascii="Times New Roman" w:hAnsi="Times New Roman" w:cs="Times New Roman"/>
              <w:color w:val="auto"/>
              <w:sz w:val="24"/>
              <w:szCs w:val="24"/>
            </w:rPr>
            <w:fldChar w:fldCharType="end"/>
          </w:r>
        </w:sdtContent>
      </w:sdt>
      <w:r w:rsidRPr="004F24F9">
        <w:rPr>
          <w:rStyle w:val="fontstyle21"/>
          <w:rFonts w:ascii="Times New Roman" w:hAnsi="Times New Roman" w:cs="Times New Roman"/>
          <w:color w:val="auto"/>
          <w:sz w:val="24"/>
          <w:szCs w:val="24"/>
        </w:rPr>
        <w:t>.</w:t>
      </w:r>
    </w:p>
    <w:p w14:paraId="602038B3" w14:textId="34098469" w:rsidR="009E4C91" w:rsidRPr="004F24F9" w:rsidRDefault="009E4C91" w:rsidP="0085219B">
      <w:pPr>
        <w:spacing w:line="320" w:lineRule="exact"/>
        <w:ind w:firstLine="397"/>
        <w:jc w:val="both"/>
        <w:rPr>
          <w:rStyle w:val="fontstyle21"/>
          <w:rFonts w:ascii="Times New Roman" w:hAnsi="Times New Roman" w:cs="Times New Roman"/>
          <w:color w:val="auto"/>
          <w:sz w:val="24"/>
          <w:szCs w:val="24"/>
        </w:rPr>
      </w:pPr>
      <w:r w:rsidRPr="004F24F9">
        <w:rPr>
          <w:rStyle w:val="fontstyle21"/>
          <w:rFonts w:ascii="Times New Roman" w:hAnsi="Times New Roman" w:cs="Times New Roman"/>
          <w:color w:val="auto"/>
          <w:sz w:val="24"/>
          <w:szCs w:val="24"/>
        </w:rPr>
        <w:t xml:space="preserve">Có nguy cơ rủi ro thâm hụt nguồn vốn </w:t>
      </w:r>
      <w:r w:rsidRPr="004F24F9">
        <w:rPr>
          <w:rStyle w:val="fontstyle21"/>
          <w:rFonts w:ascii="Times New Roman" w:hAnsi="Times New Roman" w:cs="Times New Roman"/>
          <w:color w:val="auto"/>
          <w:spacing w:val="-2"/>
          <w:sz w:val="24"/>
          <w:szCs w:val="24"/>
        </w:rPr>
        <w:t xml:space="preserve">hoặc thu hồi vốn chậm do một số người nghèo, đối tượng chính sách còn tư tưởng trông chờ ỷ lại, lợi dụng chính sách ưu đãi của nhà nước, nợ đến hạn chưa trả nợ đúng hạn. Một số hộ vay vốn đi khỏi địa phương không có thông tin, rõ địa chỉ nên công tác xử </w:t>
      </w:r>
      <w:r w:rsidR="005D28C8" w:rsidRPr="004F24F9">
        <w:rPr>
          <w:rStyle w:val="fontstyle21"/>
          <w:rFonts w:ascii="Times New Roman" w:hAnsi="Times New Roman" w:cs="Times New Roman"/>
          <w:color w:val="auto"/>
          <w:spacing w:val="-2"/>
          <w:sz w:val="24"/>
          <w:szCs w:val="24"/>
        </w:rPr>
        <w:t>lí</w:t>
      </w:r>
      <w:r w:rsidRPr="004F24F9">
        <w:rPr>
          <w:rStyle w:val="fontstyle21"/>
          <w:rFonts w:ascii="Times New Roman" w:hAnsi="Times New Roman" w:cs="Times New Roman"/>
          <w:color w:val="auto"/>
          <w:spacing w:val="-2"/>
          <w:sz w:val="24"/>
          <w:szCs w:val="24"/>
        </w:rPr>
        <w:t xml:space="preserve"> nợ còn khó khă</w:t>
      </w:r>
      <w:r w:rsidRPr="004F24F9">
        <w:rPr>
          <w:rStyle w:val="fontstyle21"/>
          <w:rFonts w:ascii="Times New Roman" w:hAnsi="Times New Roman" w:cs="Times New Roman"/>
          <w:color w:val="auto"/>
          <w:sz w:val="24"/>
          <w:szCs w:val="24"/>
        </w:rPr>
        <w:t>n.</w:t>
      </w:r>
    </w:p>
    <w:p w14:paraId="4F2C1A72" w14:textId="49E33E69" w:rsidR="009E4C91" w:rsidRPr="004F24F9" w:rsidRDefault="009E4C91" w:rsidP="0085219B">
      <w:pPr>
        <w:pStyle w:val="BodyText"/>
        <w:spacing w:line="320" w:lineRule="exact"/>
        <w:ind w:firstLine="397"/>
        <w:jc w:val="both"/>
        <w:rPr>
          <w:rStyle w:val="fontstyle21"/>
          <w:rFonts w:ascii="Times New Roman" w:hAnsi="Times New Roman" w:cs="Times New Roman"/>
          <w:color w:val="auto"/>
          <w:sz w:val="24"/>
          <w:szCs w:val="24"/>
          <w:lang w:val="vi-VN"/>
        </w:rPr>
      </w:pPr>
      <w:r w:rsidRPr="004F24F9">
        <w:rPr>
          <w:rStyle w:val="fontstyle21"/>
          <w:rFonts w:ascii="Times New Roman" w:hAnsi="Times New Roman" w:cs="Times New Roman"/>
          <w:color w:val="auto"/>
          <w:sz w:val="24"/>
          <w:szCs w:val="24"/>
          <w:lang w:val="vi-VN"/>
        </w:rPr>
        <w:t xml:space="preserve">Sự phối hợp giữa chính quyền cơ sở với </w:t>
      </w:r>
      <w:r w:rsidR="004B4775" w:rsidRPr="004F24F9">
        <w:rPr>
          <w:spacing w:val="-2"/>
          <w:lang w:val="pt-BR" w:eastAsia="vi-VN" w:bidi="vi-VN"/>
        </w:rPr>
        <w:t>NHCSXH</w:t>
      </w:r>
      <w:r w:rsidR="004B4775" w:rsidRPr="004F24F9">
        <w:rPr>
          <w:spacing w:val="-2"/>
          <w:lang w:val="vi-VN" w:eastAsia="vi-VN" w:bidi="vi-VN"/>
        </w:rPr>
        <w:t xml:space="preserve"> tỉnh</w:t>
      </w:r>
      <w:r w:rsidRPr="004F24F9">
        <w:rPr>
          <w:rStyle w:val="fontstyle21"/>
          <w:rFonts w:ascii="Times New Roman" w:hAnsi="Times New Roman" w:cs="Times New Roman"/>
          <w:color w:val="auto"/>
          <w:sz w:val="24"/>
          <w:szCs w:val="24"/>
          <w:lang w:val="vi-VN"/>
        </w:rPr>
        <w:t xml:space="preserve"> và các tổ chức chính trị - xã hội ở một số xã/phường, ấp/khu phố có lúc, có nơi còn chưa nhịp nhàng, chưa kịp thời trong công tác củng cố, nâng cao chất lượng ủy thác, chất lượng hoạt động tổ tiết kiệm và vay vốn; công tác kiểm tra, giám sát của một số tổ chức </w:t>
      </w:r>
      <w:r w:rsidRPr="004F24F9">
        <w:rPr>
          <w:lang w:val="vi-VN"/>
        </w:rPr>
        <w:lastRenderedPageBreak/>
        <w:t>CTXH</w:t>
      </w:r>
      <w:r w:rsidRPr="004F24F9">
        <w:rPr>
          <w:rStyle w:val="fontstyle21"/>
          <w:rFonts w:ascii="Times New Roman" w:hAnsi="Times New Roman" w:cs="Times New Roman"/>
          <w:color w:val="auto"/>
          <w:sz w:val="24"/>
          <w:szCs w:val="24"/>
          <w:lang w:val="vi-VN"/>
        </w:rPr>
        <w:t xml:space="preserve"> nhận </w:t>
      </w:r>
      <w:r w:rsidR="00A30B7E" w:rsidRPr="004F24F9">
        <w:rPr>
          <w:rStyle w:val="fontstyle21"/>
          <w:rFonts w:ascii="Times New Roman" w:hAnsi="Times New Roman" w:cs="Times New Roman"/>
          <w:color w:val="auto"/>
          <w:sz w:val="24"/>
          <w:szCs w:val="24"/>
        </w:rPr>
        <w:t xml:space="preserve">ủy </w:t>
      </w:r>
      <w:r w:rsidRPr="004F24F9">
        <w:rPr>
          <w:rStyle w:val="fontstyle21"/>
          <w:rFonts w:ascii="Times New Roman" w:hAnsi="Times New Roman" w:cs="Times New Roman"/>
          <w:color w:val="auto"/>
          <w:sz w:val="24"/>
          <w:szCs w:val="24"/>
          <w:lang w:val="vi-VN"/>
        </w:rPr>
        <w:t xml:space="preserve">thác cấp xã chưa được chú trọng vào chiều sâu, chưa kịp thời xử </w:t>
      </w:r>
      <w:r w:rsidR="005D28C8" w:rsidRPr="004F24F9">
        <w:rPr>
          <w:rStyle w:val="fontstyle21"/>
          <w:rFonts w:ascii="Times New Roman" w:hAnsi="Times New Roman" w:cs="Times New Roman"/>
          <w:color w:val="auto"/>
          <w:sz w:val="24"/>
          <w:szCs w:val="24"/>
          <w:lang w:val="vi-VN"/>
        </w:rPr>
        <w:t>lí</w:t>
      </w:r>
      <w:r w:rsidRPr="004F24F9">
        <w:rPr>
          <w:rStyle w:val="fontstyle21"/>
          <w:rFonts w:ascii="Times New Roman" w:hAnsi="Times New Roman" w:cs="Times New Roman"/>
          <w:color w:val="auto"/>
          <w:sz w:val="24"/>
          <w:szCs w:val="24"/>
          <w:lang w:val="vi-VN"/>
        </w:rPr>
        <w:t xml:space="preserve"> các tồn tại phát sinh; cơ chế gắn kết giữa các hoạt động khuyến nông, khuyến ngư với hoạt động tín dụng chính sách hiệu quả chưa cao.</w:t>
      </w:r>
    </w:p>
    <w:p w14:paraId="69FF6512" w14:textId="4BC036D4" w:rsidR="009E4C91" w:rsidRPr="004F24F9" w:rsidRDefault="009E4C91" w:rsidP="0085219B">
      <w:pPr>
        <w:pStyle w:val="BodyText"/>
        <w:spacing w:line="316" w:lineRule="exact"/>
        <w:ind w:firstLine="397"/>
        <w:jc w:val="both"/>
        <w:rPr>
          <w:rStyle w:val="fontstyle21"/>
          <w:rFonts w:ascii="Times New Roman" w:hAnsi="Times New Roman" w:cs="Times New Roman"/>
          <w:color w:val="auto"/>
          <w:sz w:val="24"/>
          <w:szCs w:val="24"/>
          <w:lang w:val="vi-VN"/>
        </w:rPr>
      </w:pPr>
      <w:r w:rsidRPr="004F24F9">
        <w:rPr>
          <w:rStyle w:val="fontstyle21"/>
          <w:rFonts w:ascii="Times New Roman" w:hAnsi="Times New Roman" w:cs="Times New Roman"/>
          <w:color w:val="auto"/>
          <w:sz w:val="24"/>
          <w:szCs w:val="24"/>
          <w:lang w:val="vi-VN"/>
        </w:rPr>
        <w:t xml:space="preserve">Công tác lồng ghép hoạt động tín dụng chính sách với các hoạt động hỗ trợ khuyến nông, khuyến lâm, khuyến công, chuyển giao khoa học </w:t>
      </w:r>
      <w:r w:rsidR="00194DCB" w:rsidRPr="004F24F9">
        <w:rPr>
          <w:rStyle w:val="fontstyle21"/>
          <w:rFonts w:ascii="Times New Roman" w:hAnsi="Times New Roman" w:cs="Times New Roman"/>
          <w:color w:val="auto"/>
          <w:sz w:val="24"/>
          <w:szCs w:val="24"/>
          <w:lang w:val="vi-VN"/>
        </w:rPr>
        <w:t>kĩ</w:t>
      </w:r>
      <w:r w:rsidRPr="004F24F9">
        <w:rPr>
          <w:rStyle w:val="fontstyle21"/>
          <w:rFonts w:ascii="Times New Roman" w:hAnsi="Times New Roman" w:cs="Times New Roman"/>
          <w:color w:val="auto"/>
          <w:sz w:val="24"/>
          <w:szCs w:val="24"/>
          <w:lang w:val="vi-VN"/>
        </w:rPr>
        <w:t xml:space="preserve"> thuật, các đề án, phương án phát triển kinh tế - xã hội còn ít, hiệu quả chưa cao cũng đã ảnh hưởng đến hiệu quả sử dụng vốn vay và chất lượng tín dụng chính sách.</w:t>
      </w:r>
    </w:p>
    <w:p w14:paraId="05D565B2" w14:textId="72732F3C" w:rsidR="009E4C91" w:rsidRPr="004F24F9" w:rsidRDefault="009E4C91" w:rsidP="0085219B">
      <w:pPr>
        <w:pStyle w:val="BodyText"/>
        <w:spacing w:line="316" w:lineRule="exact"/>
        <w:ind w:firstLine="397"/>
        <w:jc w:val="both"/>
        <w:rPr>
          <w:rStyle w:val="fontstyle21"/>
          <w:rFonts w:ascii="Times New Roman" w:hAnsi="Times New Roman" w:cs="Times New Roman"/>
          <w:color w:val="auto"/>
          <w:sz w:val="24"/>
          <w:szCs w:val="24"/>
          <w:lang w:val="vi-VN"/>
        </w:rPr>
      </w:pPr>
      <w:r w:rsidRPr="004F24F9">
        <w:rPr>
          <w:rStyle w:val="fontstyle21"/>
          <w:rFonts w:ascii="Times New Roman" w:hAnsi="Times New Roman" w:cs="Times New Roman"/>
          <w:color w:val="auto"/>
          <w:sz w:val="24"/>
          <w:szCs w:val="24"/>
          <w:lang w:val="vi-VN"/>
        </w:rPr>
        <w:t xml:space="preserve">Cán bộ của các tổ chức </w:t>
      </w:r>
      <w:r w:rsidR="00BE3D57" w:rsidRPr="004F24F9">
        <w:rPr>
          <w:lang w:val="vi-VN"/>
        </w:rPr>
        <w:t>chính trị - xã hội</w:t>
      </w:r>
      <w:r w:rsidRPr="004F24F9">
        <w:rPr>
          <w:rStyle w:val="fontstyle21"/>
          <w:rFonts w:ascii="Times New Roman" w:hAnsi="Times New Roman" w:cs="Times New Roman"/>
          <w:color w:val="auto"/>
          <w:sz w:val="24"/>
          <w:szCs w:val="24"/>
          <w:lang w:val="vi-VN"/>
        </w:rPr>
        <w:t xml:space="preserve"> làm công</w:t>
      </w:r>
      <w:r w:rsidR="007E5AF6" w:rsidRPr="004F24F9">
        <w:rPr>
          <w:rStyle w:val="fontstyle21"/>
          <w:rFonts w:ascii="Times New Roman" w:hAnsi="Times New Roman" w:cs="Times New Roman"/>
          <w:color w:val="auto"/>
          <w:sz w:val="24"/>
          <w:szCs w:val="24"/>
          <w:lang w:val="vi-VN"/>
        </w:rPr>
        <w:t xml:space="preserve"> tác ủy thác hay có sự thay đổi</w:t>
      </w:r>
      <w:r w:rsidRPr="004F24F9">
        <w:rPr>
          <w:rStyle w:val="fontstyle21"/>
          <w:rFonts w:ascii="Times New Roman" w:hAnsi="Times New Roman" w:cs="Times New Roman"/>
          <w:color w:val="auto"/>
          <w:sz w:val="24"/>
          <w:szCs w:val="24"/>
          <w:lang w:val="vi-VN"/>
        </w:rPr>
        <w:t xml:space="preserve"> nên việc cập nhật nghiệp vụ, cơ chế chính sách đôi lúc chưa kịp thời, thiếu sự kết nối, kế thừa, khó khăn trong công tác phối hợp; cán bộ kiêm nhiệm nên công việc nhiều, dẫn đến công tác lãnh đạo, chỉ đạo, kiểm tra của một vài tổ chức </w:t>
      </w:r>
      <w:r w:rsidR="00BE3D57" w:rsidRPr="004F24F9">
        <w:rPr>
          <w:lang w:val="vi-VN"/>
        </w:rPr>
        <w:t>chính trị - xã hội</w:t>
      </w:r>
      <w:r w:rsidRPr="004F24F9">
        <w:rPr>
          <w:rStyle w:val="fontstyle21"/>
          <w:rFonts w:ascii="Times New Roman" w:hAnsi="Times New Roman" w:cs="Times New Roman"/>
          <w:color w:val="auto"/>
          <w:sz w:val="24"/>
          <w:szCs w:val="24"/>
          <w:lang w:val="vi-VN"/>
        </w:rPr>
        <w:t xml:space="preserve"> nhận ủy thác chưa dành thờ</w:t>
      </w:r>
      <w:r w:rsidR="00C95EEC" w:rsidRPr="004F24F9">
        <w:rPr>
          <w:rStyle w:val="fontstyle21"/>
          <w:rFonts w:ascii="Times New Roman" w:hAnsi="Times New Roman" w:cs="Times New Roman"/>
          <w:color w:val="auto"/>
          <w:sz w:val="24"/>
          <w:szCs w:val="24"/>
          <w:lang w:val="vi-VN"/>
        </w:rPr>
        <w:t>i gian đúng mức cho hoạt động</w:t>
      </w:r>
      <w:r w:rsidRPr="004F24F9">
        <w:rPr>
          <w:rStyle w:val="fontstyle21"/>
          <w:rFonts w:ascii="Times New Roman" w:hAnsi="Times New Roman" w:cs="Times New Roman"/>
          <w:color w:val="auto"/>
          <w:sz w:val="24"/>
          <w:szCs w:val="24"/>
          <w:lang w:val="vi-VN"/>
        </w:rPr>
        <w:t xml:space="preserve"> ủy thác.</w:t>
      </w:r>
    </w:p>
    <w:p w14:paraId="66AAFE55" w14:textId="3B211886" w:rsidR="009E4C91" w:rsidRPr="004F24F9" w:rsidRDefault="009E4C91" w:rsidP="0085219B">
      <w:pPr>
        <w:pStyle w:val="BodyText"/>
        <w:spacing w:line="316" w:lineRule="exact"/>
        <w:ind w:firstLine="397"/>
        <w:jc w:val="both"/>
        <w:rPr>
          <w:rStyle w:val="fontstyle21"/>
          <w:rFonts w:ascii="Times New Roman" w:hAnsi="Times New Roman" w:cs="Times New Roman"/>
          <w:color w:val="auto"/>
          <w:sz w:val="24"/>
          <w:szCs w:val="24"/>
          <w:lang w:val="vi-VN"/>
        </w:rPr>
      </w:pPr>
      <w:r w:rsidRPr="004F24F9">
        <w:rPr>
          <w:rStyle w:val="fontstyle21"/>
          <w:rFonts w:ascii="Times New Roman" w:hAnsi="Times New Roman" w:cs="Times New Roman"/>
          <w:color w:val="auto"/>
          <w:sz w:val="24"/>
          <w:szCs w:val="24"/>
          <w:lang w:val="vi-VN"/>
        </w:rPr>
        <w:t xml:space="preserve">Công tác tuyên truyền chủ trương, chính sách của Đảng, Nhà nước về tín dụng chính sách đã được các cơ quan, đơn vị phối hợp với </w:t>
      </w:r>
      <w:r w:rsidR="004B4775" w:rsidRPr="004F24F9">
        <w:rPr>
          <w:spacing w:val="-2"/>
          <w:lang w:val="pt-BR" w:eastAsia="vi-VN" w:bidi="vi-VN"/>
        </w:rPr>
        <w:t>NHCSXH</w:t>
      </w:r>
      <w:r w:rsidR="004B4775" w:rsidRPr="004F24F9">
        <w:rPr>
          <w:spacing w:val="-2"/>
          <w:lang w:val="vi-VN" w:eastAsia="vi-VN" w:bidi="vi-VN"/>
        </w:rPr>
        <w:t xml:space="preserve"> tỉnh</w:t>
      </w:r>
      <w:r w:rsidRPr="004F24F9">
        <w:rPr>
          <w:rStyle w:val="fontstyle21"/>
          <w:rFonts w:ascii="Times New Roman" w:hAnsi="Times New Roman" w:cs="Times New Roman"/>
          <w:color w:val="auto"/>
          <w:sz w:val="24"/>
          <w:szCs w:val="24"/>
          <w:lang w:val="vi-VN"/>
        </w:rPr>
        <w:t xml:space="preserve"> triển khai nhiều nhưng hiệu quả còn hạn chế.</w:t>
      </w:r>
    </w:p>
    <w:p w14:paraId="48EBE436" w14:textId="77777777" w:rsidR="009E4C91" w:rsidRPr="004F24F9" w:rsidRDefault="009E4C91" w:rsidP="0085219B">
      <w:pPr>
        <w:spacing w:line="316" w:lineRule="exact"/>
        <w:jc w:val="both"/>
        <w:rPr>
          <w:rStyle w:val="fontstyle21"/>
          <w:rFonts w:ascii="Times New Roman" w:hAnsi="Times New Roman" w:cs="Times New Roman"/>
          <w:b/>
          <w:color w:val="auto"/>
          <w:sz w:val="24"/>
          <w:szCs w:val="24"/>
        </w:rPr>
      </w:pPr>
      <w:r w:rsidRPr="004F24F9">
        <w:rPr>
          <w:rStyle w:val="fontstyle21"/>
          <w:rFonts w:ascii="Times New Roman" w:hAnsi="Times New Roman" w:cs="Times New Roman"/>
          <w:b/>
          <w:color w:val="auto"/>
          <w:sz w:val="24"/>
          <w:szCs w:val="24"/>
        </w:rPr>
        <w:t>3. Kết luận</w:t>
      </w:r>
    </w:p>
    <w:p w14:paraId="1C9EC396" w14:textId="1C4777B1" w:rsidR="009E4C91" w:rsidRPr="004F24F9" w:rsidRDefault="009E4C91" w:rsidP="0085219B">
      <w:pPr>
        <w:spacing w:line="316" w:lineRule="exact"/>
        <w:ind w:firstLine="397"/>
        <w:jc w:val="both"/>
        <w:rPr>
          <w:rFonts w:cs="Times New Roman"/>
          <w:sz w:val="24"/>
          <w:szCs w:val="24"/>
        </w:rPr>
      </w:pPr>
      <w:r w:rsidRPr="004F24F9">
        <w:rPr>
          <w:rFonts w:cs="Times New Roman"/>
          <w:sz w:val="24"/>
          <w:szCs w:val="24"/>
        </w:rPr>
        <w:t xml:space="preserve">Trên cơ sở hệ thống những vấn đề </w:t>
      </w:r>
      <w:r w:rsidR="005D28C8" w:rsidRPr="004F24F9">
        <w:rPr>
          <w:rFonts w:cs="Times New Roman"/>
          <w:sz w:val="24"/>
          <w:szCs w:val="24"/>
        </w:rPr>
        <w:t>lí</w:t>
      </w:r>
      <w:r w:rsidRPr="004F24F9">
        <w:rPr>
          <w:rFonts w:cs="Times New Roman"/>
          <w:sz w:val="24"/>
          <w:szCs w:val="24"/>
        </w:rPr>
        <w:t xml:space="preserve"> luận về tín dụng chính sách xã hội, về công tác huy động nguồn vốn của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Fonts w:cs="Times New Roman"/>
          <w:sz w:val="24"/>
          <w:szCs w:val="24"/>
        </w:rPr>
        <w:t xml:space="preserve"> và kết quả phân tích thực trạng nguồn vốn ủy thác từ ngân sách địa phương để cho vay người nghèo và các đối tượng chính sách khác trên địa bàn tỉnh Đồng Nai, </w:t>
      </w:r>
      <w:r w:rsidR="00E161A5" w:rsidRPr="004F24F9">
        <w:rPr>
          <w:rFonts w:cs="Times New Roman"/>
          <w:sz w:val="24"/>
          <w:szCs w:val="24"/>
        </w:rPr>
        <w:t>nhóm tác giả</w:t>
      </w:r>
      <w:r w:rsidRPr="004F24F9">
        <w:rPr>
          <w:rFonts w:cs="Times New Roman"/>
          <w:sz w:val="24"/>
          <w:szCs w:val="24"/>
        </w:rPr>
        <w:t xml:space="preserve"> rút ra kết luận như sau</w:t>
      </w:r>
      <w:r w:rsidR="00E161A5" w:rsidRPr="004F24F9">
        <w:rPr>
          <w:rFonts w:cs="Times New Roman"/>
          <w:sz w:val="24"/>
          <w:szCs w:val="24"/>
        </w:rPr>
        <w:t>:</w:t>
      </w:r>
    </w:p>
    <w:p w14:paraId="11C20E69" w14:textId="0B1CC4DD" w:rsidR="009E4C91" w:rsidRPr="004F24F9" w:rsidRDefault="009E4C91" w:rsidP="0085219B">
      <w:pPr>
        <w:spacing w:line="316" w:lineRule="exact"/>
        <w:ind w:firstLine="397"/>
        <w:jc w:val="both"/>
        <w:rPr>
          <w:rStyle w:val="Hyperlink"/>
          <w:rFonts w:cs="Times New Roman"/>
          <w:color w:val="auto"/>
          <w:spacing w:val="-2"/>
          <w:sz w:val="24"/>
          <w:szCs w:val="24"/>
          <w:u w:val="none"/>
          <w:lang w:val="nl-NL"/>
        </w:rPr>
      </w:pPr>
      <w:r w:rsidRPr="004F24F9">
        <w:rPr>
          <w:rStyle w:val="Hyperlink"/>
          <w:rFonts w:cs="Times New Roman"/>
          <w:color w:val="auto"/>
          <w:spacing w:val="-2"/>
          <w:sz w:val="24"/>
          <w:szCs w:val="24"/>
          <w:u w:val="none"/>
          <w:lang w:val="nl-NL"/>
        </w:rPr>
        <w:lastRenderedPageBreak/>
        <w:t xml:space="preserve">Thực trạng nguồn vốn ủy thác trong những năm qua cho thấy có sự tăng trưởng đều đặn. Các nguồn vốn ủy thác từ ngân sách Trung ương và ngân sách tỉnh ngày càng lớn. Ngoài ra, </w:t>
      </w:r>
      <w:r w:rsidR="004B4775" w:rsidRPr="004F24F9">
        <w:rPr>
          <w:spacing w:val="-2"/>
          <w:sz w:val="24"/>
          <w:szCs w:val="24"/>
          <w:lang w:val="pt-BR" w:eastAsia="vi-VN" w:bidi="vi-VN"/>
        </w:rPr>
        <w:t>NHCSXH</w:t>
      </w:r>
      <w:r w:rsidR="004B4775" w:rsidRPr="004F24F9">
        <w:rPr>
          <w:spacing w:val="-2"/>
          <w:sz w:val="24"/>
          <w:szCs w:val="24"/>
          <w:lang w:eastAsia="vi-VN" w:bidi="vi-VN"/>
        </w:rPr>
        <w:t xml:space="preserve"> tỉnh</w:t>
      </w:r>
      <w:r w:rsidRPr="004F24F9">
        <w:rPr>
          <w:rStyle w:val="Hyperlink"/>
          <w:rFonts w:cs="Times New Roman"/>
          <w:color w:val="auto"/>
          <w:spacing w:val="-2"/>
          <w:sz w:val="24"/>
          <w:szCs w:val="24"/>
          <w:u w:val="none"/>
          <w:lang w:val="nl-NL"/>
        </w:rPr>
        <w:t xml:space="preserve"> còn huy động từ các cá nhân và tổ chức thông qua hình thức gửi tiết kiệm có </w:t>
      </w:r>
      <w:r w:rsidR="00C230F8" w:rsidRPr="004F24F9">
        <w:rPr>
          <w:rStyle w:val="Hyperlink"/>
          <w:rFonts w:cs="Times New Roman"/>
          <w:color w:val="auto"/>
          <w:spacing w:val="-2"/>
          <w:sz w:val="24"/>
          <w:szCs w:val="24"/>
          <w:u w:val="none"/>
          <w:lang w:val="nl-NL"/>
        </w:rPr>
        <w:t>kì</w:t>
      </w:r>
      <w:r w:rsidRPr="004F24F9">
        <w:rPr>
          <w:rStyle w:val="Hyperlink"/>
          <w:rFonts w:cs="Times New Roman"/>
          <w:color w:val="auto"/>
          <w:spacing w:val="-2"/>
          <w:sz w:val="24"/>
          <w:szCs w:val="24"/>
          <w:u w:val="none"/>
          <w:lang w:val="nl-NL"/>
        </w:rPr>
        <w:t xml:space="preserve"> hạn và không có </w:t>
      </w:r>
      <w:r w:rsidR="00C230F8" w:rsidRPr="004F24F9">
        <w:rPr>
          <w:rStyle w:val="Hyperlink"/>
          <w:rFonts w:cs="Times New Roman"/>
          <w:color w:val="auto"/>
          <w:spacing w:val="-2"/>
          <w:sz w:val="24"/>
          <w:szCs w:val="24"/>
          <w:u w:val="none"/>
          <w:lang w:val="nl-NL"/>
        </w:rPr>
        <w:t>kì</w:t>
      </w:r>
      <w:r w:rsidRPr="004F24F9">
        <w:rPr>
          <w:rStyle w:val="Hyperlink"/>
          <w:rFonts w:cs="Times New Roman"/>
          <w:color w:val="auto"/>
          <w:spacing w:val="-2"/>
          <w:sz w:val="24"/>
          <w:szCs w:val="24"/>
          <w:u w:val="none"/>
          <w:lang w:val="nl-NL"/>
        </w:rPr>
        <w:t xml:space="preserve"> hạn. Nguồn vốn tăng lên giúp cải thiện đáng kể nhu cầu vay của các đối tượng vay vốn theo quy định. Chi phí huy động vốn hằng năm cũng tăng lên nhưng đồng nghĩa việc huy động vốn cũng có nhiều kết quả.</w:t>
      </w:r>
    </w:p>
    <w:p w14:paraId="5CAF9F78" w14:textId="77777777" w:rsidR="009E4C91" w:rsidRPr="004F24F9" w:rsidRDefault="009E4C91" w:rsidP="0085219B">
      <w:pPr>
        <w:spacing w:line="316" w:lineRule="exact"/>
        <w:ind w:firstLine="397"/>
        <w:jc w:val="both"/>
        <w:rPr>
          <w:rStyle w:val="Hyperlink"/>
          <w:rFonts w:cs="Times New Roman"/>
          <w:color w:val="auto"/>
          <w:spacing w:val="-2"/>
          <w:sz w:val="24"/>
          <w:szCs w:val="24"/>
          <w:u w:val="none"/>
          <w:lang w:val="nl-NL"/>
        </w:rPr>
      </w:pPr>
      <w:r w:rsidRPr="004F24F9">
        <w:rPr>
          <w:rStyle w:val="Hyperlink"/>
          <w:rFonts w:cs="Times New Roman"/>
          <w:color w:val="auto"/>
          <w:spacing w:val="-2"/>
          <w:sz w:val="24"/>
          <w:szCs w:val="24"/>
          <w:u w:val="none"/>
          <w:lang w:val="nl-NL"/>
        </w:rPr>
        <w:t>Nguồn vốn ủy thác cho vay đối với người nghèo và các đối tượng chính sách khác cũng góp phần không nhỏ nâng cao hiệu quả kinh tế - xã hội của tỉnh trong thời gian qua. Nhiều nhóm khách hàng có hoàn cảnh khó khăn được hỗ trợ vốn để vươn lên trong cuộc sống như: nhóm người nghèo, nhóm đồng bào các dân tộc ít người, nhóm người trong độ tuổi lao động cần hỗ trợ giải quyết việc làm, nhóm người mới hòa nhập cộng đồng sau khi chấp hành bản án, nhóm doanh nghiệp vừa và nhỏ, nhóm hợp tác xã, nhóm sinh viên... Có thể nói việc thành lập NHCSXH là một quyết sách đúng của Đảng và Nhà nước góp phần thực hiện hiệu quả đường lối phát triển kinh tế thị trường định hướng xã hội chủ nghĩa mà Đại IX (2001) của Đảng đã đề ra.</w:t>
      </w:r>
    </w:p>
    <w:p w14:paraId="5885A9D1" w14:textId="540F0E20" w:rsidR="009E4C91" w:rsidRPr="004F24F9" w:rsidRDefault="009E4C91" w:rsidP="0085219B">
      <w:pPr>
        <w:spacing w:line="316" w:lineRule="exact"/>
        <w:ind w:firstLine="397"/>
        <w:jc w:val="both"/>
        <w:rPr>
          <w:rStyle w:val="Hyperlink"/>
          <w:rFonts w:cs="Times New Roman"/>
          <w:color w:val="auto"/>
          <w:spacing w:val="-2"/>
          <w:sz w:val="24"/>
          <w:szCs w:val="24"/>
          <w:u w:val="none"/>
          <w:lang w:val="nl-NL"/>
        </w:rPr>
      </w:pPr>
      <w:r w:rsidRPr="004F24F9">
        <w:rPr>
          <w:rStyle w:val="Hyperlink"/>
          <w:rFonts w:cs="Times New Roman"/>
          <w:color w:val="auto"/>
          <w:spacing w:val="-2"/>
          <w:sz w:val="24"/>
          <w:szCs w:val="24"/>
          <w:u w:val="none"/>
          <w:lang w:val="nl-NL"/>
        </w:rPr>
        <w:t xml:space="preserve">Bên cạnh những thành tựu rất lớn mà NHCSXH tỉnh Đồng Nai đã đạt được trong những năm qua về công tác tổ chức, công tác huy động vốn, công tác cho vay và hiệu quả nâng cao, phát triển kinh tế - xã hội, ổn định chính trị... vẫn còn một số hạn chế cần khắc phục, như: nguồn vốn còn chưa đáp ứng yêu cầu ngày càng lớn </w:t>
      </w:r>
      <w:r w:rsidRPr="004F24F9">
        <w:rPr>
          <w:rStyle w:val="Hyperlink"/>
          <w:rFonts w:cs="Times New Roman"/>
          <w:color w:val="auto"/>
          <w:spacing w:val="-2"/>
          <w:sz w:val="24"/>
          <w:szCs w:val="24"/>
          <w:u w:val="none"/>
          <w:lang w:val="nl-NL"/>
        </w:rPr>
        <w:lastRenderedPageBreak/>
        <w:t>và đa dạng của các đối tượng khách hàng thụ hưởng theo quy định; công tác bình bầu vay vốn còn dàn trải; một số đối tượng khách hàng có hoàn cảnh khó khăn nhưng chưa tiếp cận được nguồn vốn do vấn đề xác minh thông tin khó khăn; huy động vốn với lãi suất cao nhưng cho vay lãi suất ưu đãi dẫn đến nhà nước phải bù lãi suất; một số khách hàng vay vốn nhưng không có khả năng hoàn trả hoặc chậm  trả do kinh doanh gặp rủi ro hoặc do hoàn cảnh quá khó khăn dẫn đến phải làm thủ tục xóa nợ là nguyên nhân làm thâm hụt nguồn vốn cho vay.</w:t>
      </w:r>
    </w:p>
    <w:p w14:paraId="71D4C432" w14:textId="657AE421" w:rsidR="00104131" w:rsidRPr="004F24F9" w:rsidRDefault="009E4C91" w:rsidP="0085219B">
      <w:pPr>
        <w:spacing w:line="316" w:lineRule="exact"/>
        <w:ind w:firstLine="397"/>
        <w:jc w:val="both"/>
        <w:rPr>
          <w:rStyle w:val="Hyperlink"/>
          <w:rFonts w:cs="Times New Roman"/>
          <w:color w:val="auto"/>
          <w:sz w:val="24"/>
          <w:szCs w:val="24"/>
          <w:u w:val="none"/>
          <w:lang w:val="nl-NL"/>
        </w:rPr>
        <w:sectPr w:rsidR="00104131" w:rsidRPr="004F24F9" w:rsidSect="00104131">
          <w:type w:val="continuous"/>
          <w:pgSz w:w="11057" w:h="15593" w:code="9"/>
          <w:pgMar w:top="1418" w:right="1418" w:bottom="1418" w:left="1418" w:header="964" w:footer="851" w:gutter="0"/>
          <w:cols w:num="2" w:space="454"/>
          <w:docGrid w:linePitch="381"/>
        </w:sectPr>
      </w:pPr>
      <w:r w:rsidRPr="004F24F9">
        <w:rPr>
          <w:rStyle w:val="Hyperlink"/>
          <w:rFonts w:cs="Times New Roman"/>
          <w:color w:val="auto"/>
          <w:sz w:val="24"/>
          <w:szCs w:val="24"/>
          <w:u w:val="none"/>
          <w:lang w:val="nl-NL"/>
        </w:rPr>
        <w:t xml:space="preserve">Tóm lại, việc đẩy mạnh công tác huy động nguồn vốn để thực hiện tín dụng chính sách xã hội đối với </w:t>
      </w:r>
      <w:r w:rsidR="00FD4EDD" w:rsidRPr="004F24F9">
        <w:rPr>
          <w:rStyle w:val="Hyperlink"/>
          <w:rFonts w:cs="Times New Roman"/>
          <w:color w:val="auto"/>
          <w:sz w:val="24"/>
          <w:szCs w:val="24"/>
          <w:u w:val="none"/>
        </w:rPr>
        <w:t xml:space="preserve">Ngân hàng </w:t>
      </w:r>
      <w:r w:rsidR="00FD4EDD" w:rsidRPr="004F24F9">
        <w:rPr>
          <w:rStyle w:val="Hyperlink"/>
          <w:rFonts w:cs="Times New Roman"/>
          <w:color w:val="auto"/>
          <w:sz w:val="24"/>
          <w:szCs w:val="24"/>
          <w:u w:val="none"/>
        </w:rPr>
        <w:lastRenderedPageBreak/>
        <w:t>chính sách xã hội Việt Nam</w:t>
      </w:r>
      <w:r w:rsidRPr="004F24F9">
        <w:rPr>
          <w:rStyle w:val="Hyperlink"/>
          <w:rFonts w:cs="Times New Roman"/>
          <w:color w:val="auto"/>
          <w:sz w:val="24"/>
          <w:szCs w:val="24"/>
          <w:u w:val="none"/>
          <w:lang w:val="nl-NL"/>
        </w:rPr>
        <w:t xml:space="preserve"> nói chung và NHCSXH tỉnh là rất quan trọng. Bởi nguồn vốn càng phong phú, càng đa dạng thì việc đáp ứng nhu cầu vay vốn của các đối tượng thụ hưởng là người nghèo và các đối tượng chính sách được tốt hơn. Qua đó, góp phần quan trọng thực hiện hiệu quả các chủ trương, chính sách, mục tiêu, nhiệm vụ mà Đảng, Nhà nước đặt ra về giảm nghèo, tạo việc làm, phát triển nguồn nhân lực, bảo đảm an sinh xã hội, ổn định chính trị, tăng trưởng kinh tế đi đôi với thực hiện tiến bộ và công bằng xã hội, bảo đảm sự phát triển lành mạnh, bền vững của đất nước theo định hướng xã hội chủ nghĩa.</w:t>
      </w:r>
    </w:p>
    <w:p w14:paraId="2C88B508" w14:textId="573C0B0E" w:rsidR="003403EE" w:rsidRPr="004F24F9" w:rsidRDefault="003403EE" w:rsidP="00F67CE6">
      <w:pPr>
        <w:spacing w:before="120" w:line="316" w:lineRule="exact"/>
        <w:ind w:firstLine="397"/>
        <w:jc w:val="center"/>
        <w:rPr>
          <w:rFonts w:cs="Times New Roman"/>
          <w:b/>
          <w:bCs/>
          <w:sz w:val="24"/>
          <w:szCs w:val="24"/>
        </w:rPr>
      </w:pPr>
      <w:r w:rsidRPr="004F24F9">
        <w:rPr>
          <w:rFonts w:cs="Times New Roman"/>
          <w:b/>
          <w:bCs/>
          <w:sz w:val="24"/>
          <w:szCs w:val="24"/>
        </w:rPr>
        <w:lastRenderedPageBreak/>
        <w:t>TÀI LIỆU THAM KHẢO</w:t>
      </w:r>
    </w:p>
    <w:p w14:paraId="70972955" w14:textId="38FF9546" w:rsidR="00104131" w:rsidRPr="004F24F9" w:rsidRDefault="00104131" w:rsidP="0085219B">
      <w:pPr>
        <w:pStyle w:val="Bibliography"/>
        <w:spacing w:line="316" w:lineRule="exact"/>
        <w:ind w:left="720" w:hanging="720"/>
        <w:jc w:val="both"/>
        <w:rPr>
          <w:lang w:val="nl-NL"/>
        </w:rPr>
      </w:pPr>
      <w:r w:rsidRPr="004F24F9">
        <w:rPr>
          <w:lang w:val="nl-NL"/>
        </w:rPr>
        <w:t xml:space="preserve">Chính phủ. (2022). </w:t>
      </w:r>
      <w:r w:rsidRPr="004F24F9">
        <w:rPr>
          <w:i/>
          <w:iCs/>
          <w:lang w:val="nl-NL"/>
        </w:rPr>
        <w:t xml:space="preserve">Nghị định </w:t>
      </w:r>
      <w:r w:rsidR="00FC4EE3" w:rsidRPr="004F24F9">
        <w:rPr>
          <w:i/>
          <w:iCs/>
          <w:lang w:val="nl-NL"/>
        </w:rPr>
        <w:t>s</w:t>
      </w:r>
      <w:r w:rsidR="00FC4EE3" w:rsidRPr="004F24F9">
        <w:rPr>
          <w:i/>
          <w:lang w:val="nl-NL"/>
        </w:rPr>
        <w:t>ố 78/2022/NĐ-CP</w:t>
      </w:r>
      <w:r w:rsidR="00FC4EE3" w:rsidRPr="004F24F9">
        <w:rPr>
          <w:i/>
          <w:iCs/>
          <w:lang w:val="nl-NL"/>
        </w:rPr>
        <w:t xml:space="preserve"> </w:t>
      </w:r>
      <w:r w:rsidRPr="004F24F9">
        <w:rPr>
          <w:i/>
          <w:iCs/>
          <w:lang w:val="nl-NL"/>
        </w:rPr>
        <w:t>về tín dụng đối với người nghèo v</w:t>
      </w:r>
      <w:r w:rsidR="00FC4EE3" w:rsidRPr="004F24F9">
        <w:rPr>
          <w:i/>
          <w:iCs/>
          <w:lang w:val="nl-NL"/>
        </w:rPr>
        <w:t>à các đối tượng chính sách khác</w:t>
      </w:r>
      <w:r w:rsidRPr="004F24F9">
        <w:rPr>
          <w:lang w:val="nl-NL"/>
        </w:rPr>
        <w:t>.</w:t>
      </w:r>
    </w:p>
    <w:p w14:paraId="72198767" w14:textId="503DC5AC" w:rsidR="00104131" w:rsidRPr="004F24F9" w:rsidRDefault="00104131" w:rsidP="0085219B">
      <w:pPr>
        <w:pStyle w:val="Bibliography"/>
        <w:spacing w:line="316" w:lineRule="exact"/>
        <w:ind w:left="720" w:hanging="720"/>
        <w:jc w:val="both"/>
        <w:rPr>
          <w:lang w:val="nl-NL"/>
        </w:rPr>
      </w:pPr>
      <w:r w:rsidRPr="004F24F9">
        <w:rPr>
          <w:lang w:val="nl-NL"/>
        </w:rPr>
        <w:t xml:space="preserve">Cục </w:t>
      </w:r>
      <w:r w:rsidR="00496E11" w:rsidRPr="004F24F9">
        <w:rPr>
          <w:lang w:val="nl-NL"/>
        </w:rPr>
        <w:t>T</w:t>
      </w:r>
      <w:r w:rsidRPr="004F24F9">
        <w:rPr>
          <w:lang w:val="nl-NL"/>
        </w:rPr>
        <w:t xml:space="preserve">hống kê tỉnh Đồng Nai. (2024). </w:t>
      </w:r>
      <w:r w:rsidRPr="004F24F9">
        <w:rPr>
          <w:i/>
          <w:iCs/>
          <w:lang w:val="nl-NL"/>
        </w:rPr>
        <w:t>Niên giám thống kê tỉnh Đồng Nai 2023.</w:t>
      </w:r>
      <w:r w:rsidRPr="004F24F9">
        <w:rPr>
          <w:lang w:val="nl-NL"/>
        </w:rPr>
        <w:t xml:space="preserve"> </w:t>
      </w:r>
      <w:r w:rsidR="00032A84" w:rsidRPr="004F24F9">
        <w:rPr>
          <w:lang w:val="nl-NL"/>
        </w:rPr>
        <w:t>Nxb</w:t>
      </w:r>
      <w:r w:rsidRPr="004F24F9">
        <w:rPr>
          <w:lang w:val="nl-NL"/>
        </w:rPr>
        <w:t xml:space="preserve"> Thống kê.</w:t>
      </w:r>
    </w:p>
    <w:p w14:paraId="5560EF3B" w14:textId="007A7E02" w:rsidR="00104131" w:rsidRPr="004F24F9" w:rsidRDefault="008F2359" w:rsidP="0085219B">
      <w:pPr>
        <w:pStyle w:val="Bibliography"/>
        <w:spacing w:line="316" w:lineRule="exact"/>
        <w:ind w:left="720" w:hanging="720"/>
        <w:jc w:val="both"/>
        <w:rPr>
          <w:lang w:val="vi-VN"/>
        </w:rPr>
      </w:pPr>
      <w:r w:rsidRPr="004F24F9">
        <w:rPr>
          <w:lang w:val="vi-VN"/>
        </w:rPr>
        <w:t xml:space="preserve">Chi nhánh </w:t>
      </w:r>
      <w:r w:rsidR="00104131" w:rsidRPr="004F24F9">
        <w:rPr>
          <w:lang w:val="nl-NL"/>
        </w:rPr>
        <w:t xml:space="preserve">Ngân hàng chính sách xã hội tỉnh Đồng Nai. (2022). </w:t>
      </w:r>
      <w:r w:rsidR="00104131" w:rsidRPr="004F24F9">
        <w:rPr>
          <w:i/>
          <w:iCs/>
          <w:lang w:val="nl-NL"/>
        </w:rPr>
        <w:t xml:space="preserve">Báo cáo </w:t>
      </w:r>
      <w:r w:rsidR="00BE7FA7" w:rsidRPr="004F24F9">
        <w:t>s</w:t>
      </w:r>
      <w:r w:rsidR="00BE7FA7" w:rsidRPr="004F24F9">
        <w:rPr>
          <w:lang w:val="vi-VN"/>
        </w:rPr>
        <w:t>ố 40/BC-BĐD. HĐQT, ngày 4/10/2022</w:t>
      </w:r>
      <w:r w:rsidR="00104131" w:rsidRPr="004F24F9">
        <w:rPr>
          <w:i/>
          <w:iCs/>
          <w:lang w:val="nl-NL"/>
        </w:rPr>
        <w:t>tổng kết 20 năm triển khai chính sách tín dụng ưu đãi đối với người nghèo và các đối tượng chính sách khác theo Nghị định số 78-NĐ/2002/NĐ-CP, ngày 10/4/2002 của Chính phủ trên địa bàn tỉnh Đồng Nai.</w:t>
      </w:r>
      <w:r w:rsidR="00104131" w:rsidRPr="004F24F9">
        <w:rPr>
          <w:lang w:val="nl-NL"/>
        </w:rPr>
        <w:t xml:space="preserve"> Đồng Nai</w:t>
      </w:r>
      <w:r w:rsidR="00BE7FA7" w:rsidRPr="004F24F9">
        <w:rPr>
          <w:lang w:val="vi-VN"/>
        </w:rPr>
        <w:t>.</w:t>
      </w:r>
    </w:p>
    <w:p w14:paraId="08A48B43" w14:textId="77777777" w:rsidR="00773340" w:rsidRPr="004F24F9" w:rsidRDefault="00773340" w:rsidP="00773340">
      <w:pPr>
        <w:pStyle w:val="Bibliography"/>
        <w:spacing w:line="316" w:lineRule="exact"/>
        <w:ind w:left="720" w:hanging="720"/>
        <w:jc w:val="both"/>
        <w:rPr>
          <w:i/>
          <w:lang w:val="vi-VN"/>
        </w:rPr>
      </w:pPr>
      <w:r w:rsidRPr="004F24F9">
        <w:rPr>
          <w:lang w:val="vi-VN"/>
        </w:rPr>
        <w:t xml:space="preserve">Chi nhánh </w:t>
      </w:r>
      <w:r w:rsidRPr="004F24F9">
        <w:rPr>
          <w:lang w:val="nl-NL"/>
        </w:rPr>
        <w:t xml:space="preserve">Ngân hàng Chính sách xã hội tỉnh Đồng Nai. (2024a). </w:t>
      </w:r>
      <w:r w:rsidRPr="004F24F9">
        <w:rPr>
          <w:i/>
          <w:iCs/>
          <w:lang w:val="nl-NL"/>
        </w:rPr>
        <w:t>Báo cáo s</w:t>
      </w:r>
      <w:r w:rsidRPr="004F24F9">
        <w:rPr>
          <w:i/>
          <w:lang w:val="nl-NL"/>
        </w:rPr>
        <w:t xml:space="preserve">ố </w:t>
      </w:r>
      <w:r w:rsidRPr="004F24F9">
        <w:rPr>
          <w:i/>
          <w:lang w:val="vi-VN"/>
        </w:rPr>
        <w:t>96/NHCS-BC, ngày 11/1/2024</w:t>
      </w:r>
      <w:r w:rsidRPr="004F24F9">
        <w:rPr>
          <w:i/>
          <w:iCs/>
          <w:lang w:val="nl-NL"/>
        </w:rPr>
        <w:t xml:space="preserve"> tổng kết quả hoạt động năm 2023, kế hoạch thực hiện nhiệm vụ năm 2024.</w:t>
      </w:r>
    </w:p>
    <w:p w14:paraId="7640BEDB" w14:textId="536D50A7" w:rsidR="00773340" w:rsidRPr="004F24F9" w:rsidRDefault="00773340" w:rsidP="00773340">
      <w:pPr>
        <w:spacing w:line="316" w:lineRule="exact"/>
        <w:ind w:left="567" w:hanging="567"/>
        <w:jc w:val="both"/>
        <w:rPr>
          <w:sz w:val="24"/>
          <w:szCs w:val="24"/>
        </w:rPr>
      </w:pPr>
      <w:r w:rsidRPr="004F24F9">
        <w:rPr>
          <w:sz w:val="24"/>
          <w:szCs w:val="24"/>
        </w:rPr>
        <w:t>Chi nhánh Ngân hàng chính sách xã hội tỉnh Đồng Nai. (2024</w:t>
      </w:r>
      <w:r w:rsidRPr="004F24F9">
        <w:rPr>
          <w:sz w:val="24"/>
          <w:szCs w:val="24"/>
          <w:lang w:val="en-US"/>
        </w:rPr>
        <w:t>b</w:t>
      </w:r>
      <w:r w:rsidRPr="004F24F9">
        <w:rPr>
          <w:sz w:val="24"/>
          <w:szCs w:val="24"/>
        </w:rPr>
        <w:t xml:space="preserve">). </w:t>
      </w:r>
      <w:r w:rsidRPr="004F24F9">
        <w:rPr>
          <w:i/>
          <w:sz w:val="24"/>
          <w:szCs w:val="24"/>
          <w:lang w:val="en-US"/>
        </w:rPr>
        <w:t xml:space="preserve">Văn bản </w:t>
      </w:r>
      <w:r w:rsidRPr="004F24F9">
        <w:rPr>
          <w:i/>
          <w:sz w:val="24"/>
          <w:szCs w:val="24"/>
        </w:rPr>
        <w:t>Số 1089/NHCSXH-KHTD, ngày 17/10/2024 p</w:t>
      </w:r>
      <w:r w:rsidRPr="004F24F9">
        <w:rPr>
          <w:i/>
          <w:iCs/>
          <w:sz w:val="24"/>
          <w:szCs w:val="24"/>
        </w:rPr>
        <w:t>hối hợp tham mưu UBND tỉnh chuyển vốn ngân sách tỉnh ủy thác sang NHCSXH để cho vay đối với người chấp hành xong án phạt tù</w:t>
      </w:r>
      <w:r w:rsidRPr="004F24F9">
        <w:rPr>
          <w:sz w:val="24"/>
          <w:szCs w:val="24"/>
        </w:rPr>
        <w:t xml:space="preserve">. </w:t>
      </w:r>
    </w:p>
    <w:p w14:paraId="02C68F97" w14:textId="7CA4A4E7" w:rsidR="00104131" w:rsidRPr="004F24F9" w:rsidRDefault="00104131" w:rsidP="0085219B">
      <w:pPr>
        <w:pStyle w:val="Bibliography"/>
        <w:spacing w:line="316" w:lineRule="exact"/>
        <w:ind w:left="720" w:hanging="720"/>
        <w:jc w:val="both"/>
      </w:pPr>
      <w:r w:rsidRPr="004F24F9">
        <w:rPr>
          <w:lang w:val="nl-NL"/>
        </w:rPr>
        <w:t>Nguyễn Lâm Thành. (</w:t>
      </w:r>
      <w:r w:rsidR="00A30B7E" w:rsidRPr="004F24F9">
        <w:rPr>
          <w:lang w:val="nl-NL"/>
        </w:rPr>
        <w:t>16/10/</w:t>
      </w:r>
      <w:r w:rsidRPr="004F24F9">
        <w:rPr>
          <w:lang w:val="nl-NL"/>
        </w:rPr>
        <w:t xml:space="preserve">2023). </w:t>
      </w:r>
      <w:r w:rsidRPr="004F24F9">
        <w:rPr>
          <w:iCs/>
          <w:lang w:val="nl-NL"/>
        </w:rPr>
        <w:t>Phát huy vai trò của tín dụng chí</w:t>
      </w:r>
      <w:r w:rsidRPr="004F24F9">
        <w:rPr>
          <w:i/>
          <w:iCs/>
          <w:lang w:val="nl-NL"/>
        </w:rPr>
        <w:t>nh sách xã hội đối với đồng bào dân tộc thiểu số</w:t>
      </w:r>
      <w:r w:rsidRPr="004F24F9">
        <w:rPr>
          <w:i/>
          <w:lang w:val="nl-NL"/>
        </w:rPr>
        <w:t>.</w:t>
      </w:r>
      <w:r w:rsidRPr="004F24F9">
        <w:rPr>
          <w:lang w:val="nl-NL"/>
        </w:rPr>
        <w:t xml:space="preserve"> Tạp chí Cộng sản</w:t>
      </w:r>
      <w:r w:rsidR="00BE7FA7" w:rsidRPr="004F24F9">
        <w:rPr>
          <w:lang w:val="nl-NL"/>
        </w:rPr>
        <w:t>. Truy cập</w:t>
      </w:r>
      <w:r w:rsidR="008F01F4" w:rsidRPr="004F24F9">
        <w:rPr>
          <w:lang w:val="nl-NL"/>
        </w:rPr>
        <w:t xml:space="preserve"> ngày</w:t>
      </w:r>
      <w:r w:rsidR="00BE3D57" w:rsidRPr="004F24F9">
        <w:rPr>
          <w:lang w:val="vi-VN"/>
        </w:rPr>
        <w:t xml:space="preserve"> 15/12/2023</w:t>
      </w:r>
      <w:r w:rsidR="00BE7FA7" w:rsidRPr="004F24F9">
        <w:rPr>
          <w:lang w:val="nl-NL"/>
        </w:rPr>
        <w:t xml:space="preserve"> từ</w:t>
      </w:r>
      <w:r w:rsidRPr="004F24F9">
        <w:rPr>
          <w:lang w:val="nl-NL"/>
        </w:rPr>
        <w:t xml:space="preserve"> </w:t>
      </w:r>
      <w:r w:rsidR="00496E11" w:rsidRPr="004F24F9">
        <w:rPr>
          <w:lang w:val="nl-NL"/>
        </w:rPr>
        <w:t>https://www.tapchicongsan.org.vn/web/guest/tin-tieu-diem/-/asset_publisher/s5L7xhQiJeKe/content/phat-huy-vai-tro-cua-tin-dung-chinh-sach-xa-hoi-doi-voi-dong-bao-dan-toc-thieu-</w:t>
      </w:r>
      <w:r w:rsidR="00496E11" w:rsidRPr="004F24F9">
        <w:rPr>
          <w:lang w:val="nl-NL"/>
        </w:rPr>
        <w:lastRenderedPageBreak/>
        <w:t>so#:~:text=T%C3%ADn%20d%E1%BB%A5ng%20ch%C3%ADnh%20s%C3%A1ch%20x%C3%A3%20h%E1%BB%</w:t>
      </w:r>
      <w:r w:rsidR="00175F23" w:rsidRPr="004F24F9">
        <w:rPr>
          <w:lang w:val="vi-VN"/>
        </w:rPr>
        <w:t xml:space="preserve">. </w:t>
      </w:r>
    </w:p>
    <w:p w14:paraId="32A7DCD3" w14:textId="014C43ED" w:rsidR="0013554F" w:rsidRPr="004F24F9" w:rsidRDefault="00104131" w:rsidP="0085219B">
      <w:pPr>
        <w:widowControl w:val="0"/>
        <w:tabs>
          <w:tab w:val="left" w:pos="3994"/>
        </w:tabs>
        <w:spacing w:line="316" w:lineRule="exact"/>
        <w:ind w:left="720" w:hanging="720"/>
        <w:jc w:val="both"/>
        <w:rPr>
          <w:rFonts w:cs="Times New Roman"/>
          <w:sz w:val="24"/>
          <w:szCs w:val="24"/>
        </w:rPr>
      </w:pPr>
      <w:r w:rsidRPr="004F24F9">
        <w:rPr>
          <w:sz w:val="24"/>
          <w:szCs w:val="24"/>
        </w:rPr>
        <w:t xml:space="preserve">Ủy ban nhân dân tỉnh Đồng Nai. (2024). </w:t>
      </w:r>
      <w:r w:rsidRPr="004F24F9">
        <w:rPr>
          <w:i/>
          <w:iCs/>
          <w:sz w:val="24"/>
          <w:szCs w:val="24"/>
        </w:rPr>
        <w:t xml:space="preserve">Báo cáo </w:t>
      </w:r>
      <w:r w:rsidR="00BE7FA7" w:rsidRPr="004F24F9">
        <w:rPr>
          <w:sz w:val="24"/>
          <w:szCs w:val="24"/>
          <w:lang w:val="en-US"/>
        </w:rPr>
        <w:t>s</w:t>
      </w:r>
      <w:r w:rsidR="00BE7FA7" w:rsidRPr="004F24F9">
        <w:rPr>
          <w:sz w:val="24"/>
          <w:szCs w:val="24"/>
        </w:rPr>
        <w:t>ố 428-BC/TU, ngày 6/6/2024</w:t>
      </w:r>
      <w:r w:rsidR="00BE7FA7" w:rsidRPr="004F24F9">
        <w:rPr>
          <w:sz w:val="24"/>
          <w:szCs w:val="24"/>
          <w:lang w:val="en-US"/>
        </w:rPr>
        <w:t xml:space="preserve"> </w:t>
      </w:r>
      <w:r w:rsidRPr="004F24F9">
        <w:rPr>
          <w:i/>
          <w:iCs/>
          <w:sz w:val="24"/>
          <w:szCs w:val="24"/>
        </w:rPr>
        <w:t>tổng kết 10 năm thực hiện chỉ thị số 40-CT/TW ngày 22/11/2014 của Ban Bí thư Khóa XI về tăng cường sự lãnh đạo của Đảng đối với tín dụng chính sách xã hội trên địa bàn tỉnh Đồng Nai.</w:t>
      </w:r>
    </w:p>
    <w:p w14:paraId="20D006D9" w14:textId="77777777" w:rsidR="001A2082" w:rsidRPr="004F24F9" w:rsidRDefault="00E36D0B" w:rsidP="00F67CE6">
      <w:pPr>
        <w:spacing w:before="120" w:line="300" w:lineRule="exact"/>
        <w:jc w:val="center"/>
        <w:rPr>
          <w:rStyle w:val="Bodytext2Bold"/>
          <w:rFonts w:eastAsiaTheme="minorHAnsi"/>
          <w:iCs/>
          <w:color w:val="auto"/>
          <w:sz w:val="24"/>
          <w:szCs w:val="24"/>
        </w:rPr>
      </w:pPr>
      <w:r w:rsidRPr="004F24F9">
        <w:rPr>
          <w:rFonts w:cs="Times New Roman"/>
          <w:b/>
          <w:spacing w:val="3"/>
          <w:sz w:val="24"/>
          <w:szCs w:val="24"/>
          <w:shd w:val="clear" w:color="auto" w:fill="FFFFFF"/>
        </w:rPr>
        <w:t xml:space="preserve">ASSESSING THE CURRENT SITUATION OF </w:t>
      </w:r>
      <w:r w:rsidR="00E830CD" w:rsidRPr="004F24F9">
        <w:rPr>
          <w:rStyle w:val="Hyperlink"/>
          <w:rFonts w:cs="Times New Roman"/>
          <w:b/>
          <w:color w:val="auto"/>
          <w:spacing w:val="-2"/>
          <w:sz w:val="24"/>
          <w:szCs w:val="24"/>
          <w:u w:val="none"/>
        </w:rPr>
        <w:t>SOCIAL POLICY CREDIT CAPITAL</w:t>
      </w:r>
      <w:r w:rsidR="00E830CD" w:rsidRPr="004F24F9">
        <w:rPr>
          <w:rStyle w:val="Bodytext2Bold"/>
          <w:rFonts w:eastAsiaTheme="minorHAnsi"/>
          <w:b w:val="0"/>
          <w:iCs/>
          <w:color w:val="auto"/>
          <w:sz w:val="24"/>
          <w:szCs w:val="24"/>
        </w:rPr>
        <w:t xml:space="preserve"> </w:t>
      </w:r>
      <w:r w:rsidR="00E830CD" w:rsidRPr="004F24F9">
        <w:rPr>
          <w:rStyle w:val="Bodytext2Bold"/>
          <w:rFonts w:eastAsiaTheme="minorHAnsi"/>
          <w:iCs/>
          <w:color w:val="auto"/>
          <w:sz w:val="24"/>
          <w:szCs w:val="24"/>
        </w:rPr>
        <w:t xml:space="preserve">RESOURCES FROM LOCAL BUDGET FOR </w:t>
      </w:r>
      <w:r w:rsidR="00E830CD" w:rsidRPr="004F24F9">
        <w:rPr>
          <w:rStyle w:val="Bodytext2Bold"/>
          <w:rFonts w:eastAsiaTheme="minorHAnsi"/>
          <w:iCs/>
          <w:color w:val="auto"/>
          <w:sz w:val="24"/>
          <w:szCs w:val="24"/>
          <w:lang w:val="en-US"/>
        </w:rPr>
        <w:t>LENDING</w:t>
      </w:r>
      <w:r w:rsidR="00E830CD" w:rsidRPr="004F24F9">
        <w:rPr>
          <w:rStyle w:val="Bodytext2Bold"/>
          <w:rFonts w:eastAsiaTheme="minorHAnsi"/>
          <w:iCs/>
          <w:color w:val="auto"/>
          <w:sz w:val="24"/>
          <w:szCs w:val="24"/>
        </w:rPr>
        <w:t xml:space="preserve"> TO </w:t>
      </w:r>
    </w:p>
    <w:p w14:paraId="308D62A6" w14:textId="0A5CA014" w:rsidR="001A2082" w:rsidRPr="004F24F9" w:rsidRDefault="00E830CD" w:rsidP="00455D49">
      <w:pPr>
        <w:spacing w:line="300" w:lineRule="exact"/>
        <w:jc w:val="center"/>
        <w:rPr>
          <w:rStyle w:val="Bodytext2Bold"/>
          <w:rFonts w:eastAsiaTheme="minorHAnsi"/>
          <w:b w:val="0"/>
          <w:iCs/>
          <w:color w:val="auto"/>
          <w:sz w:val="24"/>
          <w:szCs w:val="24"/>
        </w:rPr>
      </w:pPr>
      <w:r w:rsidRPr="004F24F9">
        <w:rPr>
          <w:rStyle w:val="Bodytext2Bold"/>
          <w:rFonts w:eastAsiaTheme="minorHAnsi"/>
          <w:iCs/>
          <w:color w:val="auto"/>
          <w:sz w:val="24"/>
          <w:szCs w:val="24"/>
        </w:rPr>
        <w:t xml:space="preserve">THE POOR AND </w:t>
      </w:r>
      <w:r w:rsidRPr="004F24F9">
        <w:rPr>
          <w:rFonts w:cs="Times New Roman"/>
          <w:b/>
          <w:bCs/>
          <w:iCs/>
          <w:sz w:val="24"/>
          <w:szCs w:val="24"/>
          <w:lang w:val="en-US" w:eastAsia="vi-VN" w:bidi="vi-VN"/>
        </w:rPr>
        <w:t>OTHER POLICY BENEFICIARIES</w:t>
      </w:r>
      <w:r w:rsidRPr="004F24F9">
        <w:rPr>
          <w:rStyle w:val="Bodytext2Bold"/>
          <w:rFonts w:eastAsiaTheme="minorHAnsi"/>
          <w:b w:val="0"/>
          <w:iCs/>
          <w:color w:val="auto"/>
          <w:sz w:val="24"/>
          <w:szCs w:val="24"/>
        </w:rPr>
        <w:t xml:space="preserve"> </w:t>
      </w:r>
    </w:p>
    <w:p w14:paraId="6D234675" w14:textId="72F80965" w:rsidR="00CE3A98" w:rsidRPr="004F24F9" w:rsidRDefault="00E830CD" w:rsidP="00455D49">
      <w:pPr>
        <w:spacing w:line="300" w:lineRule="exact"/>
        <w:jc w:val="center"/>
        <w:rPr>
          <w:rFonts w:eastAsia="Calibri" w:cs="Times New Roman"/>
          <w:bCs/>
          <w:i/>
          <w:sz w:val="24"/>
          <w:szCs w:val="24"/>
          <w:lang w:val="en-US"/>
        </w:rPr>
      </w:pPr>
      <w:r w:rsidRPr="004F24F9">
        <w:rPr>
          <w:rStyle w:val="Bodytext2Bold"/>
          <w:rFonts w:eastAsiaTheme="minorHAnsi"/>
          <w:iCs/>
          <w:color w:val="auto"/>
          <w:sz w:val="24"/>
          <w:szCs w:val="24"/>
        </w:rPr>
        <w:t>IN DONG NAI PROVINCE</w:t>
      </w:r>
    </w:p>
    <w:p w14:paraId="541D1A2D" w14:textId="3E245854" w:rsidR="00E958F5" w:rsidRPr="004F24F9" w:rsidRDefault="00E958F5" w:rsidP="00E958F5">
      <w:pPr>
        <w:spacing w:line="300" w:lineRule="exact"/>
        <w:jc w:val="center"/>
        <w:rPr>
          <w:rStyle w:val="Bodytext2Bold"/>
          <w:rFonts w:eastAsiaTheme="minorHAnsi"/>
          <w:i/>
          <w:iCs/>
          <w:color w:val="auto"/>
          <w:sz w:val="22"/>
          <w:szCs w:val="22"/>
        </w:rPr>
      </w:pPr>
      <w:r w:rsidRPr="004F24F9">
        <w:rPr>
          <w:rFonts w:eastAsia="Calibri"/>
          <w:b/>
          <w:bCs/>
          <w:i/>
          <w:sz w:val="22"/>
          <w:lang w:val="fr-FR"/>
        </w:rPr>
        <w:t>Vu Van Thuan</w:t>
      </w:r>
      <w:r w:rsidR="00D26643" w:rsidRPr="004F24F9">
        <w:rPr>
          <w:rFonts w:eastAsia="Calibri"/>
          <w:b/>
          <w:bCs/>
          <w:i/>
          <w:sz w:val="22"/>
          <w:vertAlign w:val="superscript"/>
          <w:lang w:val="fr-FR"/>
        </w:rPr>
        <w:t>1*</w:t>
      </w:r>
      <w:r w:rsidRPr="004F24F9">
        <w:rPr>
          <w:rStyle w:val="Bodytext2Bold"/>
          <w:rFonts w:eastAsiaTheme="minorHAnsi"/>
          <w:i/>
          <w:iCs/>
          <w:color w:val="auto"/>
          <w:sz w:val="22"/>
          <w:szCs w:val="22"/>
        </w:rPr>
        <w:t xml:space="preserve"> </w:t>
      </w:r>
    </w:p>
    <w:p w14:paraId="2CBD6E1A" w14:textId="6F57D49A" w:rsidR="00E958F5" w:rsidRPr="004F24F9" w:rsidRDefault="00E958F5" w:rsidP="00E958F5">
      <w:pPr>
        <w:spacing w:line="300" w:lineRule="exact"/>
        <w:jc w:val="center"/>
        <w:rPr>
          <w:rStyle w:val="Bodytext2Bold"/>
          <w:rFonts w:eastAsiaTheme="minorHAnsi"/>
          <w:b w:val="0"/>
          <w:i/>
          <w:iCs/>
          <w:color w:val="auto"/>
          <w:sz w:val="22"/>
          <w:szCs w:val="22"/>
          <w:vertAlign w:val="superscript"/>
          <w:lang w:val="fr-FR"/>
        </w:rPr>
      </w:pPr>
      <w:r w:rsidRPr="004F24F9">
        <w:rPr>
          <w:rStyle w:val="Bodytext2Bold"/>
          <w:rFonts w:eastAsiaTheme="minorHAnsi"/>
          <w:i/>
          <w:iCs/>
          <w:color w:val="auto"/>
          <w:sz w:val="22"/>
          <w:szCs w:val="22"/>
        </w:rPr>
        <w:t>Le Ba Chuyen</w:t>
      </w:r>
      <w:r w:rsidR="00D26643" w:rsidRPr="004F24F9">
        <w:rPr>
          <w:rStyle w:val="Bodytext2Bold"/>
          <w:rFonts w:eastAsiaTheme="minorHAnsi"/>
          <w:i/>
          <w:iCs/>
          <w:color w:val="auto"/>
          <w:sz w:val="22"/>
          <w:szCs w:val="22"/>
          <w:vertAlign w:val="superscript"/>
          <w:lang w:val="fr-FR"/>
        </w:rPr>
        <w:t>2</w:t>
      </w:r>
    </w:p>
    <w:p w14:paraId="7A35B97A" w14:textId="6BBDFDE3" w:rsidR="00E958F5" w:rsidRPr="004F24F9" w:rsidRDefault="00E958F5" w:rsidP="00E958F5">
      <w:pPr>
        <w:spacing w:line="300" w:lineRule="exact"/>
        <w:jc w:val="center"/>
        <w:rPr>
          <w:rStyle w:val="Bodytext2Bold"/>
          <w:rFonts w:eastAsiaTheme="minorHAnsi"/>
          <w:b w:val="0"/>
          <w:i/>
          <w:iCs/>
          <w:color w:val="auto"/>
          <w:sz w:val="22"/>
          <w:szCs w:val="22"/>
          <w:vertAlign w:val="superscript"/>
          <w:lang w:val="en-US"/>
        </w:rPr>
      </w:pPr>
      <w:r w:rsidRPr="004F24F9">
        <w:rPr>
          <w:rStyle w:val="Bodytext2Bold"/>
          <w:rFonts w:eastAsiaTheme="minorHAnsi"/>
          <w:i/>
          <w:iCs/>
          <w:color w:val="auto"/>
          <w:sz w:val="22"/>
          <w:szCs w:val="22"/>
        </w:rPr>
        <w:t>Ho</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ng Tr</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n Th</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nh Nh</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n</w:t>
      </w:r>
      <w:r w:rsidR="00D26643" w:rsidRPr="004F24F9">
        <w:rPr>
          <w:rStyle w:val="Bodytext2Bold"/>
          <w:rFonts w:eastAsiaTheme="minorHAnsi"/>
          <w:i/>
          <w:iCs/>
          <w:color w:val="auto"/>
          <w:sz w:val="22"/>
          <w:szCs w:val="22"/>
          <w:vertAlign w:val="superscript"/>
          <w:lang w:val="en-US"/>
        </w:rPr>
        <w:t>2</w:t>
      </w:r>
    </w:p>
    <w:p w14:paraId="7A197BF2" w14:textId="474D3035" w:rsidR="00E958F5" w:rsidRPr="004F24F9" w:rsidRDefault="00E958F5" w:rsidP="00E958F5">
      <w:pPr>
        <w:spacing w:line="300" w:lineRule="exact"/>
        <w:jc w:val="center"/>
        <w:rPr>
          <w:rStyle w:val="Bodytext2Bold"/>
          <w:rFonts w:eastAsiaTheme="minorHAnsi"/>
          <w:b w:val="0"/>
          <w:i/>
          <w:iCs/>
          <w:color w:val="auto"/>
          <w:sz w:val="22"/>
          <w:szCs w:val="22"/>
          <w:vertAlign w:val="superscript"/>
          <w:lang w:val="en-US"/>
        </w:rPr>
      </w:pPr>
      <w:r w:rsidRPr="004F24F9">
        <w:rPr>
          <w:rStyle w:val="Bodytext2Bold"/>
          <w:rFonts w:eastAsiaTheme="minorHAnsi"/>
          <w:i/>
          <w:iCs/>
          <w:color w:val="auto"/>
          <w:sz w:val="22"/>
          <w:szCs w:val="22"/>
        </w:rPr>
        <w:t>Ph</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m Th</w:t>
      </w:r>
      <w:r w:rsidRPr="004F24F9">
        <w:rPr>
          <w:rStyle w:val="Bodytext2Bold"/>
          <w:rFonts w:eastAsiaTheme="minorHAnsi"/>
          <w:i/>
          <w:iCs/>
          <w:color w:val="auto"/>
          <w:sz w:val="22"/>
          <w:szCs w:val="22"/>
          <w:lang w:val="en-US"/>
        </w:rPr>
        <w:t>i</w:t>
      </w:r>
      <w:r w:rsidRPr="004F24F9">
        <w:rPr>
          <w:rStyle w:val="Bodytext2Bold"/>
          <w:rFonts w:eastAsiaTheme="minorHAnsi"/>
          <w:i/>
          <w:iCs/>
          <w:color w:val="auto"/>
          <w:sz w:val="22"/>
          <w:szCs w:val="22"/>
        </w:rPr>
        <w:t xml:space="preserve"> Xuan Tham</w:t>
      </w:r>
      <w:r w:rsidR="00D26643" w:rsidRPr="004F24F9">
        <w:rPr>
          <w:rStyle w:val="Bodytext2Bold"/>
          <w:rFonts w:eastAsiaTheme="minorHAnsi"/>
          <w:i/>
          <w:iCs/>
          <w:color w:val="auto"/>
          <w:sz w:val="22"/>
          <w:szCs w:val="22"/>
          <w:vertAlign w:val="superscript"/>
          <w:lang w:val="en-US"/>
        </w:rPr>
        <w:t>2</w:t>
      </w:r>
    </w:p>
    <w:p w14:paraId="3EB4F238" w14:textId="3B80C7DA" w:rsidR="00E958F5" w:rsidRPr="004F24F9" w:rsidRDefault="00E958F5" w:rsidP="00E958F5">
      <w:pPr>
        <w:spacing w:line="300" w:lineRule="exact"/>
        <w:jc w:val="center"/>
        <w:rPr>
          <w:rStyle w:val="Bodytext2Bold"/>
          <w:rFonts w:eastAsiaTheme="minorHAnsi"/>
          <w:b w:val="0"/>
          <w:i/>
          <w:iCs/>
          <w:color w:val="auto"/>
          <w:sz w:val="22"/>
          <w:szCs w:val="22"/>
          <w:vertAlign w:val="superscript"/>
          <w:lang w:val="en-US"/>
        </w:rPr>
      </w:pPr>
      <w:r w:rsidRPr="004F24F9">
        <w:rPr>
          <w:rStyle w:val="Bodytext2Bold"/>
          <w:rFonts w:eastAsiaTheme="minorHAnsi"/>
          <w:i/>
          <w:iCs/>
          <w:color w:val="auto"/>
          <w:sz w:val="22"/>
          <w:szCs w:val="22"/>
        </w:rPr>
        <w:t>Ph</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m Th</w:t>
      </w:r>
      <w:r w:rsidRPr="004F24F9">
        <w:rPr>
          <w:rStyle w:val="Bodytext2Bold"/>
          <w:rFonts w:eastAsiaTheme="minorHAnsi"/>
          <w:i/>
          <w:iCs/>
          <w:color w:val="auto"/>
          <w:sz w:val="22"/>
          <w:szCs w:val="22"/>
          <w:lang w:val="en-US"/>
        </w:rPr>
        <w:t>e</w:t>
      </w:r>
      <w:r w:rsidRPr="004F24F9">
        <w:rPr>
          <w:rStyle w:val="Bodytext2Bold"/>
          <w:rFonts w:eastAsiaTheme="minorHAnsi"/>
          <w:i/>
          <w:iCs/>
          <w:color w:val="auto"/>
          <w:sz w:val="22"/>
          <w:szCs w:val="22"/>
        </w:rPr>
        <w:t xml:space="preserve"> Dinh</w:t>
      </w:r>
      <w:r w:rsidR="00D26643" w:rsidRPr="004F24F9">
        <w:rPr>
          <w:rStyle w:val="Bodytext2Bold"/>
          <w:rFonts w:eastAsiaTheme="minorHAnsi"/>
          <w:i/>
          <w:iCs/>
          <w:color w:val="auto"/>
          <w:sz w:val="22"/>
          <w:szCs w:val="22"/>
          <w:vertAlign w:val="superscript"/>
          <w:lang w:val="en-US"/>
        </w:rPr>
        <w:t>2</w:t>
      </w:r>
    </w:p>
    <w:p w14:paraId="3EBD1933" w14:textId="357F5E54" w:rsidR="00E958F5" w:rsidRPr="004F24F9" w:rsidRDefault="00E958F5" w:rsidP="00E958F5">
      <w:pPr>
        <w:spacing w:line="300" w:lineRule="exact"/>
        <w:jc w:val="center"/>
        <w:rPr>
          <w:rStyle w:val="Bodytext2Bold"/>
          <w:rFonts w:eastAsiaTheme="minorHAnsi"/>
          <w:b w:val="0"/>
          <w:i/>
          <w:iCs/>
          <w:color w:val="auto"/>
          <w:sz w:val="22"/>
          <w:szCs w:val="22"/>
          <w:vertAlign w:val="superscript"/>
          <w:lang w:val="en-US"/>
        </w:rPr>
      </w:pPr>
      <w:r w:rsidRPr="004F24F9">
        <w:rPr>
          <w:rStyle w:val="Bodytext2Bold"/>
          <w:rFonts w:eastAsiaTheme="minorHAnsi"/>
          <w:i/>
          <w:iCs/>
          <w:color w:val="auto"/>
          <w:sz w:val="22"/>
          <w:szCs w:val="22"/>
        </w:rPr>
        <w:t>Ph</w:t>
      </w:r>
      <w:r w:rsidRPr="004F24F9">
        <w:rPr>
          <w:rStyle w:val="Bodytext2Bold"/>
          <w:rFonts w:eastAsiaTheme="minorHAnsi"/>
          <w:i/>
          <w:iCs/>
          <w:color w:val="auto"/>
          <w:sz w:val="22"/>
          <w:szCs w:val="22"/>
          <w:lang w:val="en-US"/>
        </w:rPr>
        <w:t>a</w:t>
      </w:r>
      <w:r w:rsidRPr="004F24F9">
        <w:rPr>
          <w:rStyle w:val="Bodytext2Bold"/>
          <w:rFonts w:eastAsiaTheme="minorHAnsi"/>
          <w:i/>
          <w:iCs/>
          <w:color w:val="auto"/>
          <w:sz w:val="22"/>
          <w:szCs w:val="22"/>
        </w:rPr>
        <w:t>m Thi Van</w:t>
      </w:r>
      <w:r w:rsidR="00D26643" w:rsidRPr="004F24F9">
        <w:rPr>
          <w:rStyle w:val="Bodytext2Bold"/>
          <w:rFonts w:eastAsiaTheme="minorHAnsi"/>
          <w:i/>
          <w:iCs/>
          <w:color w:val="auto"/>
          <w:sz w:val="22"/>
          <w:szCs w:val="22"/>
          <w:vertAlign w:val="superscript"/>
          <w:lang w:val="en-US"/>
        </w:rPr>
        <w:t>2</w:t>
      </w:r>
    </w:p>
    <w:p w14:paraId="3C20AFE0" w14:textId="1FA3F9F5" w:rsidR="00B20677" w:rsidRPr="004F24F9" w:rsidRDefault="00E958F5" w:rsidP="00E958F5">
      <w:pPr>
        <w:spacing w:line="300" w:lineRule="exact"/>
        <w:jc w:val="center"/>
        <w:rPr>
          <w:rFonts w:cs="Times New Roman"/>
          <w:bCs/>
          <w:i/>
          <w:iCs/>
          <w:sz w:val="22"/>
          <w:vertAlign w:val="superscript"/>
          <w:lang w:val="en-US" w:eastAsia="vi-VN" w:bidi="vi-VN"/>
        </w:rPr>
      </w:pPr>
      <w:r w:rsidRPr="004F24F9">
        <w:rPr>
          <w:rStyle w:val="Bodytext2Bold"/>
          <w:rFonts w:eastAsiaTheme="minorHAnsi"/>
          <w:i/>
          <w:iCs/>
          <w:color w:val="auto"/>
          <w:sz w:val="22"/>
          <w:szCs w:val="22"/>
        </w:rPr>
        <w:t>Bui Vien Cao Thuong</w:t>
      </w:r>
      <w:r w:rsidR="00D26643" w:rsidRPr="004F24F9">
        <w:rPr>
          <w:rStyle w:val="Bodytext2Bold"/>
          <w:rFonts w:eastAsiaTheme="minorHAnsi"/>
          <w:i/>
          <w:iCs/>
          <w:color w:val="auto"/>
          <w:sz w:val="22"/>
          <w:szCs w:val="22"/>
          <w:vertAlign w:val="superscript"/>
          <w:lang w:val="en-US"/>
        </w:rPr>
        <w:t>2</w:t>
      </w:r>
    </w:p>
    <w:p w14:paraId="4D0808DA" w14:textId="10970622" w:rsidR="00B20677" w:rsidRPr="004F24F9" w:rsidRDefault="00B14FC0" w:rsidP="00455D49">
      <w:pPr>
        <w:spacing w:line="300" w:lineRule="exact"/>
        <w:jc w:val="center"/>
        <w:rPr>
          <w:rFonts w:eastAsia="Calibri"/>
          <w:bCs/>
          <w:sz w:val="22"/>
        </w:rPr>
      </w:pPr>
      <w:r w:rsidRPr="004F24F9">
        <w:rPr>
          <w:rFonts w:eastAsia="Calibri"/>
          <w:bCs/>
          <w:sz w:val="22"/>
          <w:vertAlign w:val="superscript"/>
          <w:lang w:val="en-US"/>
        </w:rPr>
        <w:t>1</w:t>
      </w:r>
      <w:r w:rsidR="00E958F5" w:rsidRPr="004F24F9">
        <w:rPr>
          <w:rFonts w:eastAsia="Calibri"/>
          <w:bCs/>
          <w:sz w:val="22"/>
          <w:lang w:val="en-US"/>
        </w:rPr>
        <w:t>Dong Nai</w:t>
      </w:r>
      <w:r w:rsidR="00B20677" w:rsidRPr="004F24F9">
        <w:rPr>
          <w:rFonts w:eastAsia="Calibri"/>
          <w:bCs/>
          <w:sz w:val="22"/>
        </w:rPr>
        <w:t xml:space="preserve"> University</w:t>
      </w:r>
    </w:p>
    <w:p w14:paraId="0CD30884" w14:textId="6239E81F" w:rsidR="00B14FC0" w:rsidRPr="004F24F9" w:rsidRDefault="00B14FC0" w:rsidP="00455D49">
      <w:pPr>
        <w:spacing w:line="300" w:lineRule="exact"/>
        <w:jc w:val="center"/>
        <w:rPr>
          <w:rFonts w:eastAsia="Calibri" w:cs="Times New Roman"/>
          <w:bCs/>
          <w:sz w:val="22"/>
          <w:lang w:val="en-US"/>
        </w:rPr>
      </w:pPr>
      <w:r w:rsidRPr="004F24F9">
        <w:rPr>
          <w:rFonts w:eastAsia="Calibri" w:cs="Times New Roman"/>
          <w:bCs/>
          <w:sz w:val="22"/>
          <w:vertAlign w:val="superscript"/>
          <w:lang w:val="en-US"/>
        </w:rPr>
        <w:t>2</w:t>
      </w:r>
      <w:r w:rsidR="00D26643" w:rsidRPr="004F24F9">
        <w:rPr>
          <w:rStyle w:val="Emphasis"/>
          <w:rFonts w:cs="Times New Roman"/>
          <w:bCs/>
          <w:i w:val="0"/>
          <w:iCs w:val="0"/>
          <w:sz w:val="22"/>
          <w:shd w:val="clear" w:color="auto" w:fill="FFFFFF"/>
        </w:rPr>
        <w:t>Dong Nai</w:t>
      </w:r>
      <w:r w:rsidR="00D26643" w:rsidRPr="004F24F9">
        <w:rPr>
          <w:rFonts w:cs="Times New Roman"/>
          <w:sz w:val="22"/>
          <w:shd w:val="clear" w:color="auto" w:fill="FFFFFF"/>
        </w:rPr>
        <w:t xml:space="preserve"> branch </w:t>
      </w:r>
      <w:r w:rsidR="00D26643" w:rsidRPr="004F24F9">
        <w:rPr>
          <w:rFonts w:cs="Times New Roman"/>
          <w:sz w:val="22"/>
          <w:shd w:val="clear" w:color="auto" w:fill="FFFFFF"/>
          <w:lang w:val="en-US"/>
        </w:rPr>
        <w:t xml:space="preserve">of the </w:t>
      </w:r>
      <w:r w:rsidR="00D26643" w:rsidRPr="004F24F9">
        <w:rPr>
          <w:rFonts w:cs="Times New Roman"/>
          <w:sz w:val="22"/>
          <w:shd w:val="clear" w:color="auto" w:fill="FFFFFF"/>
        </w:rPr>
        <w:t>Vietnam Bank for Social Policies</w:t>
      </w:r>
    </w:p>
    <w:p w14:paraId="4848834A" w14:textId="5501B461" w:rsidR="00B20677" w:rsidRPr="004F24F9" w:rsidRDefault="00D26643" w:rsidP="00455D49">
      <w:pPr>
        <w:spacing w:line="300" w:lineRule="exact"/>
        <w:jc w:val="center"/>
        <w:rPr>
          <w:sz w:val="22"/>
        </w:rPr>
      </w:pPr>
      <w:r w:rsidRPr="004F24F9">
        <w:rPr>
          <w:rFonts w:eastAsia="Calibri"/>
          <w:bCs/>
          <w:sz w:val="22"/>
          <w:lang w:val="en-US"/>
        </w:rPr>
        <w:t xml:space="preserve">*Corresponding Author: Vu Van Thuan - </w:t>
      </w:r>
      <w:r w:rsidR="00B20677" w:rsidRPr="004F24F9">
        <w:rPr>
          <w:rFonts w:eastAsia="Calibri"/>
          <w:bCs/>
          <w:sz w:val="22"/>
        </w:rPr>
        <w:t xml:space="preserve">Email: </w:t>
      </w:r>
      <w:r w:rsidR="00E958F5" w:rsidRPr="004F24F9">
        <w:rPr>
          <w:rFonts w:cs="Times New Roman"/>
          <w:sz w:val="22"/>
          <w:shd w:val="clear" w:color="auto" w:fill="FFFFFF"/>
        </w:rPr>
        <w:t>vuthuan1984@gma</w:t>
      </w:r>
      <w:bookmarkStart w:id="37" w:name="_GoBack"/>
      <w:bookmarkEnd w:id="37"/>
      <w:r w:rsidR="00E958F5" w:rsidRPr="004F24F9">
        <w:rPr>
          <w:rFonts w:cs="Times New Roman"/>
          <w:sz w:val="22"/>
          <w:shd w:val="clear" w:color="auto" w:fill="FFFFFF"/>
        </w:rPr>
        <w:t>il.com</w:t>
      </w:r>
    </w:p>
    <w:p w14:paraId="20E17D89" w14:textId="08C04659" w:rsidR="00B20677" w:rsidRPr="004F24F9" w:rsidRDefault="00CA0952" w:rsidP="00455D49">
      <w:pPr>
        <w:spacing w:line="300" w:lineRule="exact"/>
        <w:jc w:val="center"/>
        <w:rPr>
          <w:rFonts w:cs="Times New Roman"/>
          <w:iCs/>
          <w:sz w:val="22"/>
          <w:u w:color="FF0000"/>
          <w:lang w:val="en-US"/>
        </w:rPr>
      </w:pPr>
      <w:r w:rsidRPr="004F24F9">
        <w:rPr>
          <w:rFonts w:asciiTheme="majorHAnsi" w:hAnsiTheme="majorHAnsi" w:cstheme="majorHAnsi"/>
          <w:iCs/>
          <w:spacing w:val="-4"/>
          <w:sz w:val="22"/>
        </w:rPr>
        <w:t>(Received: 6</w:t>
      </w:r>
      <w:r w:rsidR="00B20677" w:rsidRPr="004F24F9">
        <w:rPr>
          <w:rFonts w:asciiTheme="majorHAnsi" w:hAnsiTheme="majorHAnsi" w:cstheme="majorHAnsi"/>
          <w:iCs/>
          <w:spacing w:val="-4"/>
          <w:sz w:val="22"/>
        </w:rPr>
        <w:t>/</w:t>
      </w:r>
      <w:r w:rsidRPr="004F24F9">
        <w:rPr>
          <w:rFonts w:asciiTheme="majorHAnsi" w:hAnsiTheme="majorHAnsi" w:cstheme="majorHAnsi"/>
          <w:iCs/>
          <w:spacing w:val="-4"/>
          <w:sz w:val="22"/>
          <w:lang w:val="en-US"/>
        </w:rPr>
        <w:t>1</w:t>
      </w:r>
      <w:r w:rsidRPr="004F24F9">
        <w:rPr>
          <w:rFonts w:asciiTheme="majorHAnsi" w:hAnsiTheme="majorHAnsi" w:cstheme="majorHAnsi"/>
          <w:iCs/>
          <w:spacing w:val="-4"/>
          <w:sz w:val="22"/>
        </w:rPr>
        <w:t>/2025</w:t>
      </w:r>
      <w:r w:rsidR="00B20677" w:rsidRPr="004F24F9">
        <w:rPr>
          <w:rFonts w:asciiTheme="majorHAnsi" w:hAnsiTheme="majorHAnsi" w:cstheme="majorHAnsi"/>
          <w:iCs/>
          <w:spacing w:val="-4"/>
          <w:sz w:val="22"/>
        </w:rPr>
        <w:t xml:space="preserve">, Revised: </w:t>
      </w:r>
      <w:r w:rsidR="009E6763" w:rsidRPr="004F24F9">
        <w:rPr>
          <w:rFonts w:asciiTheme="majorHAnsi" w:hAnsiTheme="majorHAnsi" w:cstheme="majorHAnsi"/>
          <w:iCs/>
          <w:spacing w:val="-4"/>
          <w:sz w:val="22"/>
          <w:lang w:val="en-US"/>
        </w:rPr>
        <w:t>21</w:t>
      </w:r>
      <w:r w:rsidR="009E6763" w:rsidRPr="004F24F9">
        <w:rPr>
          <w:rFonts w:asciiTheme="majorHAnsi" w:hAnsiTheme="majorHAnsi" w:cstheme="majorHAnsi"/>
          <w:iCs/>
          <w:spacing w:val="-4"/>
          <w:sz w:val="22"/>
        </w:rPr>
        <w:t>/1/2025</w:t>
      </w:r>
      <w:r w:rsidR="00B20677" w:rsidRPr="004F24F9">
        <w:rPr>
          <w:rFonts w:asciiTheme="majorHAnsi" w:hAnsiTheme="majorHAnsi" w:cstheme="majorHAnsi"/>
          <w:iCs/>
          <w:spacing w:val="-4"/>
          <w:sz w:val="22"/>
        </w:rPr>
        <w:t xml:space="preserve">, Accepted for publication: </w:t>
      </w:r>
      <w:r w:rsidR="003403EE" w:rsidRPr="004F24F9">
        <w:rPr>
          <w:rFonts w:asciiTheme="majorHAnsi" w:hAnsiTheme="majorHAnsi" w:cstheme="majorHAnsi"/>
          <w:iCs/>
          <w:spacing w:val="-4"/>
          <w:sz w:val="22"/>
        </w:rPr>
        <w:t>23</w:t>
      </w:r>
      <w:r w:rsidR="00B20677" w:rsidRPr="004F24F9">
        <w:rPr>
          <w:rFonts w:asciiTheme="majorHAnsi" w:hAnsiTheme="majorHAnsi" w:cstheme="majorHAnsi"/>
          <w:iCs/>
          <w:spacing w:val="-4"/>
          <w:sz w:val="22"/>
        </w:rPr>
        <w:t>/</w:t>
      </w:r>
      <w:r w:rsidR="003403EE" w:rsidRPr="004F24F9">
        <w:rPr>
          <w:rFonts w:asciiTheme="majorHAnsi" w:hAnsiTheme="majorHAnsi" w:cstheme="majorHAnsi"/>
          <w:iCs/>
          <w:spacing w:val="-4"/>
          <w:sz w:val="22"/>
        </w:rPr>
        <w:t>1/2025</w:t>
      </w:r>
      <w:r w:rsidR="00B20677" w:rsidRPr="004F24F9">
        <w:rPr>
          <w:rFonts w:asciiTheme="majorHAnsi" w:hAnsiTheme="majorHAnsi" w:cstheme="majorHAnsi"/>
          <w:iCs/>
          <w:spacing w:val="-4"/>
          <w:sz w:val="22"/>
        </w:rPr>
        <w:t>)</w:t>
      </w:r>
    </w:p>
    <w:p w14:paraId="7C4796DF" w14:textId="77777777" w:rsidR="003403EE" w:rsidRPr="004F24F9" w:rsidRDefault="003403EE" w:rsidP="00455D49">
      <w:pPr>
        <w:spacing w:line="300" w:lineRule="exact"/>
        <w:jc w:val="center"/>
        <w:rPr>
          <w:rFonts w:cs="Times New Roman"/>
          <w:b/>
          <w:i/>
          <w:iCs/>
          <w:sz w:val="24"/>
          <w:szCs w:val="24"/>
        </w:rPr>
      </w:pPr>
      <w:r w:rsidRPr="004F24F9">
        <w:rPr>
          <w:rFonts w:cs="Times New Roman"/>
          <w:b/>
          <w:i/>
          <w:iCs/>
          <w:sz w:val="24"/>
          <w:szCs w:val="24"/>
        </w:rPr>
        <w:t>ABSTRACT</w:t>
      </w:r>
    </w:p>
    <w:p w14:paraId="531431BC" w14:textId="36F32E7D" w:rsidR="00104131" w:rsidRPr="004F24F9" w:rsidRDefault="00214A6E" w:rsidP="00D240C2">
      <w:pPr>
        <w:spacing w:line="300" w:lineRule="exact"/>
        <w:ind w:firstLine="397"/>
        <w:jc w:val="both"/>
        <w:rPr>
          <w:rStyle w:val="Hyperlink"/>
          <w:rFonts w:cs="Times New Roman"/>
          <w:i/>
          <w:color w:val="auto"/>
          <w:spacing w:val="-2"/>
          <w:sz w:val="24"/>
          <w:szCs w:val="24"/>
          <w:u w:val="none"/>
          <w:lang w:val="nl-NL"/>
        </w:rPr>
      </w:pPr>
      <w:r w:rsidRPr="004F24F9">
        <w:rPr>
          <w:rStyle w:val="Hyperlink"/>
          <w:rFonts w:cs="Times New Roman"/>
          <w:i/>
          <w:color w:val="auto"/>
          <w:spacing w:val="-2"/>
          <w:sz w:val="24"/>
          <w:szCs w:val="24"/>
          <w:u w:val="none"/>
        </w:rPr>
        <w:t xml:space="preserve">Social policy credit for the poor and policy beneficiaries to borrow has always been of great importance to the Party and State of Vietnam in recent times. In Dong Nai, the capital from the state budget to the Provincial Social Policy Bank has increased in recent years, demonstrating the province's concern for the poor and policy beneficiaries. The increase in social policy credit capital has significantly improved the borrowing needs of borrowers according to the provisions of law. This capital source has also contributed significantly to improving the socio-economic efficiency of the province. Many groups of customers in difficult circumstances are supported with capital to improve their lives, such as poor people, ethnic minority groups, cooperative groups, student groups, etc. It can be said that increasing and concentrating social policy credit capital </w:t>
      </w:r>
      <w:r w:rsidRPr="004F24F9">
        <w:rPr>
          <w:rStyle w:val="Bodytext2Bold"/>
          <w:rFonts w:eastAsiaTheme="minorHAnsi"/>
          <w:b w:val="0"/>
          <w:bCs w:val="0"/>
          <w:i/>
          <w:iCs/>
          <w:color w:val="auto"/>
          <w:sz w:val="24"/>
          <w:szCs w:val="24"/>
        </w:rPr>
        <w:t>resources</w:t>
      </w:r>
      <w:r w:rsidRPr="004F24F9">
        <w:rPr>
          <w:rStyle w:val="Hyperlink"/>
          <w:rFonts w:cs="Times New Roman"/>
          <w:b/>
          <w:bCs/>
          <w:i/>
          <w:color w:val="auto"/>
          <w:spacing w:val="-2"/>
          <w:sz w:val="24"/>
          <w:szCs w:val="24"/>
          <w:u w:val="none"/>
        </w:rPr>
        <w:t xml:space="preserve"> </w:t>
      </w:r>
      <w:r w:rsidRPr="004F24F9">
        <w:rPr>
          <w:rStyle w:val="Hyperlink"/>
          <w:rFonts w:cs="Times New Roman"/>
          <w:i/>
          <w:color w:val="auto"/>
          <w:spacing w:val="-2"/>
          <w:sz w:val="24"/>
          <w:szCs w:val="24"/>
          <w:u w:val="none"/>
        </w:rPr>
        <w:t>from the state budget to the Social Policy Bank in general and Dong Nai province in particular is the right policy and proper decision of the Party and State of Vietnam, contributing to the effective implementation of the socialist-oriented market economy development set forth by the Communist Party of Vietnam</w:t>
      </w:r>
      <w:r w:rsidR="00104131" w:rsidRPr="004F24F9">
        <w:rPr>
          <w:rStyle w:val="Hyperlink"/>
          <w:rFonts w:cs="Times New Roman"/>
          <w:i/>
          <w:color w:val="auto"/>
          <w:spacing w:val="-2"/>
          <w:sz w:val="24"/>
          <w:szCs w:val="24"/>
          <w:u w:val="none"/>
          <w:lang w:val="nl-NL"/>
        </w:rPr>
        <w:t>.</w:t>
      </w:r>
    </w:p>
    <w:p w14:paraId="5380FBB7" w14:textId="44187385" w:rsidR="00686FEF" w:rsidRPr="004F24F9" w:rsidRDefault="00104131" w:rsidP="00D240C2">
      <w:pPr>
        <w:pStyle w:val="NormalWeb"/>
        <w:spacing w:before="0" w:beforeAutospacing="0" w:after="0" w:afterAutospacing="0" w:line="300" w:lineRule="exact"/>
        <w:ind w:firstLine="397"/>
        <w:jc w:val="both"/>
        <w:rPr>
          <w:i/>
          <w:lang w:val="vi-VN"/>
        </w:rPr>
      </w:pPr>
      <w:r w:rsidRPr="004F24F9">
        <w:rPr>
          <w:b/>
          <w:i/>
          <w:lang w:val="en"/>
        </w:rPr>
        <w:t>Keywords</w:t>
      </w:r>
      <w:r w:rsidRPr="004F24F9">
        <w:rPr>
          <w:i/>
          <w:lang w:val="en"/>
        </w:rPr>
        <w:t xml:space="preserve">: </w:t>
      </w:r>
      <w:r w:rsidR="00D240C2" w:rsidRPr="004F24F9">
        <w:rPr>
          <w:i/>
          <w:lang w:val="en"/>
        </w:rPr>
        <w:t>C</w:t>
      </w:r>
      <w:r w:rsidRPr="004F24F9">
        <w:rPr>
          <w:i/>
          <w:lang w:val="en"/>
        </w:rPr>
        <w:t>redit, policy, Dong Nai</w:t>
      </w:r>
    </w:p>
    <w:sectPr w:rsidR="00686FEF" w:rsidRPr="004F24F9" w:rsidSect="006241F2">
      <w:type w:val="continuous"/>
      <w:pgSz w:w="11057" w:h="15593" w:code="9"/>
      <w:pgMar w:top="1418" w:right="1418" w:bottom="1418" w:left="1418" w:header="964" w:footer="85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DF9C5" w14:textId="77777777" w:rsidR="00281685" w:rsidRDefault="00281685" w:rsidP="00ED7BD8">
      <w:r>
        <w:separator/>
      </w:r>
    </w:p>
  </w:endnote>
  <w:endnote w:type="continuationSeparator" w:id="0">
    <w:p w14:paraId="0E1BDC83" w14:textId="77777777" w:rsidR="00281685" w:rsidRDefault="00281685" w:rsidP="00E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398973433"/>
      <w:docPartObj>
        <w:docPartGallery w:val="Page Numbers (Bottom of Page)"/>
        <w:docPartUnique/>
      </w:docPartObj>
    </w:sdtPr>
    <w:sdtEndPr/>
    <w:sdtContent>
      <w:p w14:paraId="02CFDA2D" w14:textId="78AA12FD" w:rsidR="008F191D" w:rsidRPr="00162660" w:rsidRDefault="008F191D">
        <w:pPr>
          <w:pStyle w:val="Footer"/>
          <w:jc w:val="center"/>
          <w:rPr>
            <w:sz w:val="24"/>
          </w:rPr>
        </w:pPr>
        <w:r w:rsidRPr="00162660">
          <w:rPr>
            <w:sz w:val="24"/>
          </w:rPr>
          <w:fldChar w:fldCharType="begin"/>
        </w:r>
        <w:r w:rsidRPr="00162660">
          <w:rPr>
            <w:sz w:val="24"/>
          </w:rPr>
          <w:instrText xml:space="preserve"> PAGE   \* MERGEFORMAT </w:instrText>
        </w:r>
        <w:r w:rsidRPr="00162660">
          <w:rPr>
            <w:sz w:val="24"/>
          </w:rPr>
          <w:fldChar w:fldCharType="separate"/>
        </w:r>
        <w:r w:rsidR="004F24F9">
          <w:rPr>
            <w:noProof/>
            <w:sz w:val="24"/>
          </w:rPr>
          <w:t>107</w:t>
        </w:r>
        <w:r w:rsidRPr="00162660">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8DD8" w14:textId="77777777" w:rsidR="00281685" w:rsidRDefault="00281685" w:rsidP="00ED7BD8">
      <w:r>
        <w:separator/>
      </w:r>
    </w:p>
  </w:footnote>
  <w:footnote w:type="continuationSeparator" w:id="0">
    <w:p w14:paraId="178DE2E6" w14:textId="77777777" w:rsidR="00281685" w:rsidRDefault="00281685" w:rsidP="00ED7B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1CD9" w14:textId="43EA808A" w:rsidR="008F191D" w:rsidRPr="001029A3" w:rsidRDefault="008F191D" w:rsidP="001029A3">
    <w:pPr>
      <w:pBdr>
        <w:bottom w:val="single" w:sz="4" w:space="1" w:color="auto"/>
      </w:pBdr>
      <w:jc w:val="center"/>
      <w:rPr>
        <w:color w:val="000000"/>
        <w:sz w:val="22"/>
        <w:lang w:val="en-US"/>
      </w:rPr>
    </w:pPr>
    <w:r w:rsidRPr="004F0249">
      <w:rPr>
        <w:color w:val="000000"/>
        <w:sz w:val="22"/>
      </w:rPr>
      <w:t>TẠP CHÍ KHOA HỌC - ĐẠI HỌC ĐỒNG NAI, SỐ</w:t>
    </w:r>
    <w:r>
      <w:rPr>
        <w:color w:val="000000"/>
        <w:sz w:val="22"/>
      </w:rPr>
      <w:t xml:space="preserve"> 34 - 2025</w:t>
    </w:r>
    <w:r w:rsidRPr="004F0249">
      <w:rPr>
        <w:color w:val="000000"/>
        <w:sz w:val="22"/>
      </w:rPr>
      <w:t xml:space="preserve">     </w:t>
    </w:r>
    <w:r>
      <w:rPr>
        <w:color w:val="000000"/>
        <w:sz w:val="22"/>
        <w:lang w:val="en-US"/>
      </w:rPr>
      <w:t xml:space="preserve">     </w:t>
    </w:r>
    <w:r w:rsidRPr="004F0249">
      <w:rPr>
        <w:color w:val="000000"/>
        <w:sz w:val="22"/>
      </w:rPr>
      <w:t xml:space="preserve">           ISSN 2354-1482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69B"/>
    <w:multiLevelType w:val="hybridMultilevel"/>
    <w:tmpl w:val="873811C2"/>
    <w:lvl w:ilvl="0" w:tplc="FF1440B4">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5B2A19A9"/>
    <w:multiLevelType w:val="hybridMultilevel"/>
    <w:tmpl w:val="3A80992C"/>
    <w:lvl w:ilvl="0" w:tplc="6CD82C7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42368"/>
    <w:multiLevelType w:val="hybridMultilevel"/>
    <w:tmpl w:val="C7489926"/>
    <w:lvl w:ilvl="0" w:tplc="3AC636D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D8"/>
    <w:rsid w:val="00004F26"/>
    <w:rsid w:val="000058CD"/>
    <w:rsid w:val="0001347B"/>
    <w:rsid w:val="00021CCA"/>
    <w:rsid w:val="00032A84"/>
    <w:rsid w:val="00036506"/>
    <w:rsid w:val="00037771"/>
    <w:rsid w:val="000402D9"/>
    <w:rsid w:val="000418DD"/>
    <w:rsid w:val="000441E0"/>
    <w:rsid w:val="0004608D"/>
    <w:rsid w:val="0005107D"/>
    <w:rsid w:val="000551D8"/>
    <w:rsid w:val="0006008B"/>
    <w:rsid w:val="000601AA"/>
    <w:rsid w:val="00060D92"/>
    <w:rsid w:val="000633E5"/>
    <w:rsid w:val="0006453A"/>
    <w:rsid w:val="00075C06"/>
    <w:rsid w:val="00080222"/>
    <w:rsid w:val="00080B36"/>
    <w:rsid w:val="00082ADE"/>
    <w:rsid w:val="000840BA"/>
    <w:rsid w:val="0009147B"/>
    <w:rsid w:val="00091D07"/>
    <w:rsid w:val="0009223B"/>
    <w:rsid w:val="00092BD0"/>
    <w:rsid w:val="00095A71"/>
    <w:rsid w:val="00096654"/>
    <w:rsid w:val="000A1177"/>
    <w:rsid w:val="000A2EE1"/>
    <w:rsid w:val="000A3EBF"/>
    <w:rsid w:val="000B2E6B"/>
    <w:rsid w:val="000B55BF"/>
    <w:rsid w:val="000C3DEB"/>
    <w:rsid w:val="000C4EA4"/>
    <w:rsid w:val="000C4F2B"/>
    <w:rsid w:val="000C680A"/>
    <w:rsid w:val="000C6DB6"/>
    <w:rsid w:val="000D23A2"/>
    <w:rsid w:val="000D29DE"/>
    <w:rsid w:val="000D4820"/>
    <w:rsid w:val="000E3724"/>
    <w:rsid w:val="000E376C"/>
    <w:rsid w:val="000E5684"/>
    <w:rsid w:val="000F51B1"/>
    <w:rsid w:val="000F6278"/>
    <w:rsid w:val="000F6DCA"/>
    <w:rsid w:val="000F73F2"/>
    <w:rsid w:val="001029A3"/>
    <w:rsid w:val="00102EA2"/>
    <w:rsid w:val="00104131"/>
    <w:rsid w:val="00104613"/>
    <w:rsid w:val="001058DE"/>
    <w:rsid w:val="00106F96"/>
    <w:rsid w:val="0011041F"/>
    <w:rsid w:val="0011731F"/>
    <w:rsid w:val="00120105"/>
    <w:rsid w:val="00122112"/>
    <w:rsid w:val="0012605B"/>
    <w:rsid w:val="00132329"/>
    <w:rsid w:val="001329B6"/>
    <w:rsid w:val="00133EE6"/>
    <w:rsid w:val="0013554F"/>
    <w:rsid w:val="001364DF"/>
    <w:rsid w:val="001402CF"/>
    <w:rsid w:val="001418F3"/>
    <w:rsid w:val="0014265A"/>
    <w:rsid w:val="001437C7"/>
    <w:rsid w:val="00146BBB"/>
    <w:rsid w:val="00147159"/>
    <w:rsid w:val="00155B32"/>
    <w:rsid w:val="001564B6"/>
    <w:rsid w:val="00156865"/>
    <w:rsid w:val="00161F7D"/>
    <w:rsid w:val="00162660"/>
    <w:rsid w:val="00163695"/>
    <w:rsid w:val="00172E51"/>
    <w:rsid w:val="00175D79"/>
    <w:rsid w:val="00175F23"/>
    <w:rsid w:val="0019097E"/>
    <w:rsid w:val="00194173"/>
    <w:rsid w:val="00194DCB"/>
    <w:rsid w:val="00197BF2"/>
    <w:rsid w:val="001A0156"/>
    <w:rsid w:val="001A108F"/>
    <w:rsid w:val="001A2082"/>
    <w:rsid w:val="001A2316"/>
    <w:rsid w:val="001B11E1"/>
    <w:rsid w:val="001B2466"/>
    <w:rsid w:val="001B3077"/>
    <w:rsid w:val="001B3845"/>
    <w:rsid w:val="001C1674"/>
    <w:rsid w:val="001C377B"/>
    <w:rsid w:val="001C41FF"/>
    <w:rsid w:val="001C7502"/>
    <w:rsid w:val="001D0F3F"/>
    <w:rsid w:val="001D15ED"/>
    <w:rsid w:val="001E06F3"/>
    <w:rsid w:val="001F4E97"/>
    <w:rsid w:val="001F58DD"/>
    <w:rsid w:val="0020060E"/>
    <w:rsid w:val="00202400"/>
    <w:rsid w:val="00214A6E"/>
    <w:rsid w:val="0022024E"/>
    <w:rsid w:val="002232E9"/>
    <w:rsid w:val="00226558"/>
    <w:rsid w:val="00234E41"/>
    <w:rsid w:val="002357DD"/>
    <w:rsid w:val="002500C4"/>
    <w:rsid w:val="0025236A"/>
    <w:rsid w:val="00254E6E"/>
    <w:rsid w:val="0025634B"/>
    <w:rsid w:val="00256C71"/>
    <w:rsid w:val="002604FA"/>
    <w:rsid w:val="0026258C"/>
    <w:rsid w:val="00262A2D"/>
    <w:rsid w:val="00264177"/>
    <w:rsid w:val="00272BAE"/>
    <w:rsid w:val="002748D4"/>
    <w:rsid w:val="002765E9"/>
    <w:rsid w:val="00276C82"/>
    <w:rsid w:val="00281685"/>
    <w:rsid w:val="00282D63"/>
    <w:rsid w:val="00282E7B"/>
    <w:rsid w:val="002860DF"/>
    <w:rsid w:val="002866A6"/>
    <w:rsid w:val="00291751"/>
    <w:rsid w:val="0029397D"/>
    <w:rsid w:val="00294453"/>
    <w:rsid w:val="002974C0"/>
    <w:rsid w:val="002A2DA5"/>
    <w:rsid w:val="002A3438"/>
    <w:rsid w:val="002A77BF"/>
    <w:rsid w:val="002B34C4"/>
    <w:rsid w:val="002C0745"/>
    <w:rsid w:val="002C2749"/>
    <w:rsid w:val="002C4398"/>
    <w:rsid w:val="002D4D5F"/>
    <w:rsid w:val="002D66A0"/>
    <w:rsid w:val="002E3348"/>
    <w:rsid w:val="002E4272"/>
    <w:rsid w:val="002E4F27"/>
    <w:rsid w:val="002E5D96"/>
    <w:rsid w:val="002E6A9D"/>
    <w:rsid w:val="002E7371"/>
    <w:rsid w:val="002F3FD2"/>
    <w:rsid w:val="002F60D5"/>
    <w:rsid w:val="0030324A"/>
    <w:rsid w:val="00313B37"/>
    <w:rsid w:val="0031490C"/>
    <w:rsid w:val="00317A98"/>
    <w:rsid w:val="003241C5"/>
    <w:rsid w:val="00324398"/>
    <w:rsid w:val="00326494"/>
    <w:rsid w:val="00335347"/>
    <w:rsid w:val="003372E5"/>
    <w:rsid w:val="003403EE"/>
    <w:rsid w:val="003405BF"/>
    <w:rsid w:val="003423B5"/>
    <w:rsid w:val="00345258"/>
    <w:rsid w:val="0034531C"/>
    <w:rsid w:val="0034744E"/>
    <w:rsid w:val="00357C9F"/>
    <w:rsid w:val="003634DE"/>
    <w:rsid w:val="00364724"/>
    <w:rsid w:val="00373D67"/>
    <w:rsid w:val="00381095"/>
    <w:rsid w:val="00381EA6"/>
    <w:rsid w:val="00387F13"/>
    <w:rsid w:val="003907FB"/>
    <w:rsid w:val="003924E6"/>
    <w:rsid w:val="003A5FF7"/>
    <w:rsid w:val="003A75C3"/>
    <w:rsid w:val="003B433D"/>
    <w:rsid w:val="003B6BE7"/>
    <w:rsid w:val="003B76AF"/>
    <w:rsid w:val="003C235C"/>
    <w:rsid w:val="003C2389"/>
    <w:rsid w:val="003C3DE2"/>
    <w:rsid w:val="003C5103"/>
    <w:rsid w:val="003D0E4E"/>
    <w:rsid w:val="003D528E"/>
    <w:rsid w:val="003D6EB2"/>
    <w:rsid w:val="003E2FD1"/>
    <w:rsid w:val="003E3ED8"/>
    <w:rsid w:val="003E5BE1"/>
    <w:rsid w:val="003E7F79"/>
    <w:rsid w:val="003F2FD6"/>
    <w:rsid w:val="00400702"/>
    <w:rsid w:val="00401549"/>
    <w:rsid w:val="00402DC4"/>
    <w:rsid w:val="00405816"/>
    <w:rsid w:val="004107DC"/>
    <w:rsid w:val="00410851"/>
    <w:rsid w:val="00412A44"/>
    <w:rsid w:val="004132B9"/>
    <w:rsid w:val="00420D19"/>
    <w:rsid w:val="00421DBD"/>
    <w:rsid w:val="00435771"/>
    <w:rsid w:val="00437229"/>
    <w:rsid w:val="00440118"/>
    <w:rsid w:val="00440385"/>
    <w:rsid w:val="00441BA6"/>
    <w:rsid w:val="0044462E"/>
    <w:rsid w:val="00445BB2"/>
    <w:rsid w:val="00447FB5"/>
    <w:rsid w:val="00454510"/>
    <w:rsid w:val="00455D49"/>
    <w:rsid w:val="004652E8"/>
    <w:rsid w:val="0046640E"/>
    <w:rsid w:val="004678D1"/>
    <w:rsid w:val="0047634B"/>
    <w:rsid w:val="0048182F"/>
    <w:rsid w:val="004821A6"/>
    <w:rsid w:val="00483C6A"/>
    <w:rsid w:val="00484843"/>
    <w:rsid w:val="00487B08"/>
    <w:rsid w:val="00493E2E"/>
    <w:rsid w:val="004943E2"/>
    <w:rsid w:val="00496E11"/>
    <w:rsid w:val="00496EB7"/>
    <w:rsid w:val="00497509"/>
    <w:rsid w:val="004A10EC"/>
    <w:rsid w:val="004A18BF"/>
    <w:rsid w:val="004A6685"/>
    <w:rsid w:val="004B0C4A"/>
    <w:rsid w:val="004B2849"/>
    <w:rsid w:val="004B4239"/>
    <w:rsid w:val="004B4775"/>
    <w:rsid w:val="004C10C3"/>
    <w:rsid w:val="004F0FCA"/>
    <w:rsid w:val="004F24F9"/>
    <w:rsid w:val="005015A6"/>
    <w:rsid w:val="0051225B"/>
    <w:rsid w:val="00515EF6"/>
    <w:rsid w:val="0051666F"/>
    <w:rsid w:val="00526CA6"/>
    <w:rsid w:val="00527CD6"/>
    <w:rsid w:val="0053016E"/>
    <w:rsid w:val="00531D16"/>
    <w:rsid w:val="00531E01"/>
    <w:rsid w:val="00536287"/>
    <w:rsid w:val="00544ACE"/>
    <w:rsid w:val="00545EA0"/>
    <w:rsid w:val="005469DE"/>
    <w:rsid w:val="00546F11"/>
    <w:rsid w:val="005517F7"/>
    <w:rsid w:val="00555F95"/>
    <w:rsid w:val="00562CAF"/>
    <w:rsid w:val="005664CA"/>
    <w:rsid w:val="00570615"/>
    <w:rsid w:val="0057181A"/>
    <w:rsid w:val="00572804"/>
    <w:rsid w:val="00585E49"/>
    <w:rsid w:val="00587BF5"/>
    <w:rsid w:val="00592463"/>
    <w:rsid w:val="005939B8"/>
    <w:rsid w:val="00597386"/>
    <w:rsid w:val="00597B1F"/>
    <w:rsid w:val="005A052E"/>
    <w:rsid w:val="005A0D85"/>
    <w:rsid w:val="005A3FC7"/>
    <w:rsid w:val="005A6239"/>
    <w:rsid w:val="005A6C2E"/>
    <w:rsid w:val="005B0395"/>
    <w:rsid w:val="005B2227"/>
    <w:rsid w:val="005B71B7"/>
    <w:rsid w:val="005C038F"/>
    <w:rsid w:val="005C419C"/>
    <w:rsid w:val="005C4504"/>
    <w:rsid w:val="005D0272"/>
    <w:rsid w:val="005D28C8"/>
    <w:rsid w:val="005D299D"/>
    <w:rsid w:val="005E4D11"/>
    <w:rsid w:val="005E5117"/>
    <w:rsid w:val="005E6563"/>
    <w:rsid w:val="005F60EA"/>
    <w:rsid w:val="005F76BF"/>
    <w:rsid w:val="00604C69"/>
    <w:rsid w:val="00605D91"/>
    <w:rsid w:val="0061027F"/>
    <w:rsid w:val="00613C82"/>
    <w:rsid w:val="006156DC"/>
    <w:rsid w:val="00616F2F"/>
    <w:rsid w:val="00622416"/>
    <w:rsid w:val="006241F2"/>
    <w:rsid w:val="0062575C"/>
    <w:rsid w:val="006259EE"/>
    <w:rsid w:val="00627213"/>
    <w:rsid w:val="006418C2"/>
    <w:rsid w:val="00642785"/>
    <w:rsid w:val="006606B9"/>
    <w:rsid w:val="00661E11"/>
    <w:rsid w:val="00663B01"/>
    <w:rsid w:val="0066441C"/>
    <w:rsid w:val="00664DAA"/>
    <w:rsid w:val="006658A2"/>
    <w:rsid w:val="00667D12"/>
    <w:rsid w:val="006708D2"/>
    <w:rsid w:val="00672134"/>
    <w:rsid w:val="00674FCB"/>
    <w:rsid w:val="00685102"/>
    <w:rsid w:val="006869EE"/>
    <w:rsid w:val="00686DC1"/>
    <w:rsid w:val="00686FEF"/>
    <w:rsid w:val="006A259F"/>
    <w:rsid w:val="006A53CA"/>
    <w:rsid w:val="006B37CF"/>
    <w:rsid w:val="006B493E"/>
    <w:rsid w:val="006C029A"/>
    <w:rsid w:val="006C03A1"/>
    <w:rsid w:val="006C4C80"/>
    <w:rsid w:val="006C7EA5"/>
    <w:rsid w:val="006D1031"/>
    <w:rsid w:val="006D4A6F"/>
    <w:rsid w:val="006E3FE8"/>
    <w:rsid w:val="006E43AC"/>
    <w:rsid w:val="006F5B84"/>
    <w:rsid w:val="007033BF"/>
    <w:rsid w:val="00704541"/>
    <w:rsid w:val="0071270A"/>
    <w:rsid w:val="00720218"/>
    <w:rsid w:val="007202BB"/>
    <w:rsid w:val="00722098"/>
    <w:rsid w:val="007225CA"/>
    <w:rsid w:val="00722983"/>
    <w:rsid w:val="0072756A"/>
    <w:rsid w:val="00731D82"/>
    <w:rsid w:val="007432CA"/>
    <w:rsid w:val="00746D56"/>
    <w:rsid w:val="007474DD"/>
    <w:rsid w:val="007538E3"/>
    <w:rsid w:val="00754235"/>
    <w:rsid w:val="00763B30"/>
    <w:rsid w:val="00765F62"/>
    <w:rsid w:val="007669FD"/>
    <w:rsid w:val="00767F6D"/>
    <w:rsid w:val="00770D23"/>
    <w:rsid w:val="00773340"/>
    <w:rsid w:val="0077339A"/>
    <w:rsid w:val="007742B0"/>
    <w:rsid w:val="0078341E"/>
    <w:rsid w:val="007855EE"/>
    <w:rsid w:val="00794A25"/>
    <w:rsid w:val="007959FB"/>
    <w:rsid w:val="00797899"/>
    <w:rsid w:val="007A2EB1"/>
    <w:rsid w:val="007A4343"/>
    <w:rsid w:val="007A75C8"/>
    <w:rsid w:val="007B2183"/>
    <w:rsid w:val="007B39D3"/>
    <w:rsid w:val="007C155E"/>
    <w:rsid w:val="007C17A7"/>
    <w:rsid w:val="007C3833"/>
    <w:rsid w:val="007C4A68"/>
    <w:rsid w:val="007C5A89"/>
    <w:rsid w:val="007C627D"/>
    <w:rsid w:val="007D0256"/>
    <w:rsid w:val="007D0295"/>
    <w:rsid w:val="007D6CE1"/>
    <w:rsid w:val="007E3EDA"/>
    <w:rsid w:val="007E5A3E"/>
    <w:rsid w:val="007E5AF6"/>
    <w:rsid w:val="007F597B"/>
    <w:rsid w:val="007F5B43"/>
    <w:rsid w:val="007F7CCD"/>
    <w:rsid w:val="00810C47"/>
    <w:rsid w:val="00814B46"/>
    <w:rsid w:val="00817838"/>
    <w:rsid w:val="0082320C"/>
    <w:rsid w:val="00825934"/>
    <w:rsid w:val="00826B98"/>
    <w:rsid w:val="00827765"/>
    <w:rsid w:val="008279DC"/>
    <w:rsid w:val="00827D69"/>
    <w:rsid w:val="0083100E"/>
    <w:rsid w:val="00831C14"/>
    <w:rsid w:val="00841617"/>
    <w:rsid w:val="00841CC9"/>
    <w:rsid w:val="0084505B"/>
    <w:rsid w:val="00845A3C"/>
    <w:rsid w:val="00846907"/>
    <w:rsid w:val="0085219B"/>
    <w:rsid w:val="00853AD7"/>
    <w:rsid w:val="0086630C"/>
    <w:rsid w:val="008765C4"/>
    <w:rsid w:val="0087718E"/>
    <w:rsid w:val="0088729C"/>
    <w:rsid w:val="0088772E"/>
    <w:rsid w:val="0089327B"/>
    <w:rsid w:val="008934D8"/>
    <w:rsid w:val="008A07C9"/>
    <w:rsid w:val="008A29A0"/>
    <w:rsid w:val="008A57F5"/>
    <w:rsid w:val="008A5917"/>
    <w:rsid w:val="008C0AC3"/>
    <w:rsid w:val="008D4370"/>
    <w:rsid w:val="008D52E0"/>
    <w:rsid w:val="008D73C6"/>
    <w:rsid w:val="008E1CB6"/>
    <w:rsid w:val="008E3A5C"/>
    <w:rsid w:val="008E5A2C"/>
    <w:rsid w:val="008F01F4"/>
    <w:rsid w:val="008F191D"/>
    <w:rsid w:val="008F2359"/>
    <w:rsid w:val="008F30A9"/>
    <w:rsid w:val="008F5CAD"/>
    <w:rsid w:val="00901540"/>
    <w:rsid w:val="009158DE"/>
    <w:rsid w:val="00916E82"/>
    <w:rsid w:val="00920E56"/>
    <w:rsid w:val="00920E7A"/>
    <w:rsid w:val="00925954"/>
    <w:rsid w:val="009279A4"/>
    <w:rsid w:val="009327C3"/>
    <w:rsid w:val="00943665"/>
    <w:rsid w:val="00945A31"/>
    <w:rsid w:val="009512FD"/>
    <w:rsid w:val="0096055C"/>
    <w:rsid w:val="0096152B"/>
    <w:rsid w:val="00965B4D"/>
    <w:rsid w:val="00973908"/>
    <w:rsid w:val="00975027"/>
    <w:rsid w:val="00977979"/>
    <w:rsid w:val="00982DC1"/>
    <w:rsid w:val="009842B5"/>
    <w:rsid w:val="00986250"/>
    <w:rsid w:val="0098756A"/>
    <w:rsid w:val="00987D14"/>
    <w:rsid w:val="0099001C"/>
    <w:rsid w:val="00990050"/>
    <w:rsid w:val="00991456"/>
    <w:rsid w:val="009929C3"/>
    <w:rsid w:val="00992FFC"/>
    <w:rsid w:val="00994BE8"/>
    <w:rsid w:val="0099612D"/>
    <w:rsid w:val="00997613"/>
    <w:rsid w:val="009A11EB"/>
    <w:rsid w:val="009A1C1E"/>
    <w:rsid w:val="009A3163"/>
    <w:rsid w:val="009A33A1"/>
    <w:rsid w:val="009A423A"/>
    <w:rsid w:val="009A4A3F"/>
    <w:rsid w:val="009A5C6E"/>
    <w:rsid w:val="009A793E"/>
    <w:rsid w:val="009B0A7F"/>
    <w:rsid w:val="009B7BFD"/>
    <w:rsid w:val="009C0CBF"/>
    <w:rsid w:val="009C259F"/>
    <w:rsid w:val="009C3B6B"/>
    <w:rsid w:val="009D41DA"/>
    <w:rsid w:val="009D42B2"/>
    <w:rsid w:val="009D607F"/>
    <w:rsid w:val="009D686C"/>
    <w:rsid w:val="009E4C91"/>
    <w:rsid w:val="009E5D37"/>
    <w:rsid w:val="009E6763"/>
    <w:rsid w:val="009E707D"/>
    <w:rsid w:val="009E79FB"/>
    <w:rsid w:val="009F65CB"/>
    <w:rsid w:val="009F663C"/>
    <w:rsid w:val="009F7EF3"/>
    <w:rsid w:val="00A03FB1"/>
    <w:rsid w:val="00A10495"/>
    <w:rsid w:val="00A11580"/>
    <w:rsid w:val="00A216B9"/>
    <w:rsid w:val="00A21D13"/>
    <w:rsid w:val="00A21DEE"/>
    <w:rsid w:val="00A22B08"/>
    <w:rsid w:val="00A30B7E"/>
    <w:rsid w:val="00A31F09"/>
    <w:rsid w:val="00A32420"/>
    <w:rsid w:val="00A34B10"/>
    <w:rsid w:val="00A368B6"/>
    <w:rsid w:val="00A37451"/>
    <w:rsid w:val="00A417A1"/>
    <w:rsid w:val="00A45438"/>
    <w:rsid w:val="00A53711"/>
    <w:rsid w:val="00A57BF1"/>
    <w:rsid w:val="00A6661E"/>
    <w:rsid w:val="00A75841"/>
    <w:rsid w:val="00A81C59"/>
    <w:rsid w:val="00A853C2"/>
    <w:rsid w:val="00A8567F"/>
    <w:rsid w:val="00A90E25"/>
    <w:rsid w:val="00A923E2"/>
    <w:rsid w:val="00A956EE"/>
    <w:rsid w:val="00A976EA"/>
    <w:rsid w:val="00A97F50"/>
    <w:rsid w:val="00AA2789"/>
    <w:rsid w:val="00AA48CA"/>
    <w:rsid w:val="00AB1BA2"/>
    <w:rsid w:val="00AB30E0"/>
    <w:rsid w:val="00AB66E5"/>
    <w:rsid w:val="00AB67C2"/>
    <w:rsid w:val="00AC0970"/>
    <w:rsid w:val="00AC5F47"/>
    <w:rsid w:val="00AD2AFA"/>
    <w:rsid w:val="00AD70EB"/>
    <w:rsid w:val="00AE023D"/>
    <w:rsid w:val="00AE50A8"/>
    <w:rsid w:val="00AF14C6"/>
    <w:rsid w:val="00AF20D4"/>
    <w:rsid w:val="00AF221B"/>
    <w:rsid w:val="00AF31A9"/>
    <w:rsid w:val="00AF5B5B"/>
    <w:rsid w:val="00B010AB"/>
    <w:rsid w:val="00B10A41"/>
    <w:rsid w:val="00B14C9D"/>
    <w:rsid w:val="00B14FC0"/>
    <w:rsid w:val="00B20677"/>
    <w:rsid w:val="00B20FB7"/>
    <w:rsid w:val="00B25935"/>
    <w:rsid w:val="00B2774D"/>
    <w:rsid w:val="00B32F16"/>
    <w:rsid w:val="00B37B08"/>
    <w:rsid w:val="00B41E2C"/>
    <w:rsid w:val="00B4481F"/>
    <w:rsid w:val="00B45529"/>
    <w:rsid w:val="00B45C12"/>
    <w:rsid w:val="00B51299"/>
    <w:rsid w:val="00B53D93"/>
    <w:rsid w:val="00B55160"/>
    <w:rsid w:val="00B64CF3"/>
    <w:rsid w:val="00B718E7"/>
    <w:rsid w:val="00B725EF"/>
    <w:rsid w:val="00B746A9"/>
    <w:rsid w:val="00B75472"/>
    <w:rsid w:val="00B82E51"/>
    <w:rsid w:val="00B854C2"/>
    <w:rsid w:val="00B977D0"/>
    <w:rsid w:val="00BA16CA"/>
    <w:rsid w:val="00BA1996"/>
    <w:rsid w:val="00BA30E4"/>
    <w:rsid w:val="00BA787E"/>
    <w:rsid w:val="00BB7DE8"/>
    <w:rsid w:val="00BC7EC8"/>
    <w:rsid w:val="00BD25DA"/>
    <w:rsid w:val="00BD3684"/>
    <w:rsid w:val="00BD485B"/>
    <w:rsid w:val="00BD51F9"/>
    <w:rsid w:val="00BD756C"/>
    <w:rsid w:val="00BE3D57"/>
    <w:rsid w:val="00BE4FDD"/>
    <w:rsid w:val="00BE5C2B"/>
    <w:rsid w:val="00BE5E4C"/>
    <w:rsid w:val="00BE60BD"/>
    <w:rsid w:val="00BE715D"/>
    <w:rsid w:val="00BE7FA7"/>
    <w:rsid w:val="00BF40E6"/>
    <w:rsid w:val="00C00315"/>
    <w:rsid w:val="00C010DD"/>
    <w:rsid w:val="00C03990"/>
    <w:rsid w:val="00C05F4E"/>
    <w:rsid w:val="00C10602"/>
    <w:rsid w:val="00C10A15"/>
    <w:rsid w:val="00C115E6"/>
    <w:rsid w:val="00C12D22"/>
    <w:rsid w:val="00C12EA9"/>
    <w:rsid w:val="00C144A2"/>
    <w:rsid w:val="00C14C46"/>
    <w:rsid w:val="00C1633E"/>
    <w:rsid w:val="00C17532"/>
    <w:rsid w:val="00C20AA5"/>
    <w:rsid w:val="00C230F8"/>
    <w:rsid w:val="00C23117"/>
    <w:rsid w:val="00C26A52"/>
    <w:rsid w:val="00C30F0F"/>
    <w:rsid w:val="00C32F0F"/>
    <w:rsid w:val="00C34C91"/>
    <w:rsid w:val="00C44002"/>
    <w:rsid w:val="00C45BD6"/>
    <w:rsid w:val="00C46D94"/>
    <w:rsid w:val="00C61B5D"/>
    <w:rsid w:val="00C62314"/>
    <w:rsid w:val="00C62559"/>
    <w:rsid w:val="00C630C0"/>
    <w:rsid w:val="00C6735A"/>
    <w:rsid w:val="00C67E1E"/>
    <w:rsid w:val="00C7081A"/>
    <w:rsid w:val="00C74727"/>
    <w:rsid w:val="00C7551C"/>
    <w:rsid w:val="00C77347"/>
    <w:rsid w:val="00C840BD"/>
    <w:rsid w:val="00C87F5C"/>
    <w:rsid w:val="00C95EEC"/>
    <w:rsid w:val="00CA0952"/>
    <w:rsid w:val="00CA26E3"/>
    <w:rsid w:val="00CA49BB"/>
    <w:rsid w:val="00CA6636"/>
    <w:rsid w:val="00CA6A71"/>
    <w:rsid w:val="00CB51B3"/>
    <w:rsid w:val="00CC0267"/>
    <w:rsid w:val="00CC10C0"/>
    <w:rsid w:val="00CC22F8"/>
    <w:rsid w:val="00CC6302"/>
    <w:rsid w:val="00CD1063"/>
    <w:rsid w:val="00CE3A98"/>
    <w:rsid w:val="00CE4DFA"/>
    <w:rsid w:val="00CF0172"/>
    <w:rsid w:val="00CF0A85"/>
    <w:rsid w:val="00CF1180"/>
    <w:rsid w:val="00CF30EF"/>
    <w:rsid w:val="00CF4C35"/>
    <w:rsid w:val="00D074AC"/>
    <w:rsid w:val="00D13645"/>
    <w:rsid w:val="00D15F85"/>
    <w:rsid w:val="00D171CA"/>
    <w:rsid w:val="00D2330B"/>
    <w:rsid w:val="00D23D60"/>
    <w:rsid w:val="00D240C2"/>
    <w:rsid w:val="00D24585"/>
    <w:rsid w:val="00D25600"/>
    <w:rsid w:val="00D26643"/>
    <w:rsid w:val="00D302F1"/>
    <w:rsid w:val="00D335FD"/>
    <w:rsid w:val="00D33FE7"/>
    <w:rsid w:val="00D41922"/>
    <w:rsid w:val="00D4362B"/>
    <w:rsid w:val="00D44043"/>
    <w:rsid w:val="00D60EE8"/>
    <w:rsid w:val="00D63821"/>
    <w:rsid w:val="00D664A3"/>
    <w:rsid w:val="00D7626A"/>
    <w:rsid w:val="00D839B0"/>
    <w:rsid w:val="00D8706A"/>
    <w:rsid w:val="00D87AEC"/>
    <w:rsid w:val="00D91DDE"/>
    <w:rsid w:val="00D92C7C"/>
    <w:rsid w:val="00D955DB"/>
    <w:rsid w:val="00D96A8E"/>
    <w:rsid w:val="00D97FD6"/>
    <w:rsid w:val="00DA3309"/>
    <w:rsid w:val="00DA51DB"/>
    <w:rsid w:val="00DA6344"/>
    <w:rsid w:val="00DB21C3"/>
    <w:rsid w:val="00DB4832"/>
    <w:rsid w:val="00DB6733"/>
    <w:rsid w:val="00DB6DF1"/>
    <w:rsid w:val="00DB6F68"/>
    <w:rsid w:val="00DD24FD"/>
    <w:rsid w:val="00DE4815"/>
    <w:rsid w:val="00DE5800"/>
    <w:rsid w:val="00DF2053"/>
    <w:rsid w:val="00DF2E1B"/>
    <w:rsid w:val="00DF596F"/>
    <w:rsid w:val="00E05FF7"/>
    <w:rsid w:val="00E0663B"/>
    <w:rsid w:val="00E075E2"/>
    <w:rsid w:val="00E07F4C"/>
    <w:rsid w:val="00E13595"/>
    <w:rsid w:val="00E15603"/>
    <w:rsid w:val="00E161A5"/>
    <w:rsid w:val="00E20E64"/>
    <w:rsid w:val="00E21C99"/>
    <w:rsid w:val="00E25B60"/>
    <w:rsid w:val="00E27609"/>
    <w:rsid w:val="00E32DF6"/>
    <w:rsid w:val="00E33E94"/>
    <w:rsid w:val="00E34B55"/>
    <w:rsid w:val="00E36D0B"/>
    <w:rsid w:val="00E36DA3"/>
    <w:rsid w:val="00E4509E"/>
    <w:rsid w:val="00E47769"/>
    <w:rsid w:val="00E507C1"/>
    <w:rsid w:val="00E50B6E"/>
    <w:rsid w:val="00E51D16"/>
    <w:rsid w:val="00E51EDD"/>
    <w:rsid w:val="00E602D5"/>
    <w:rsid w:val="00E6057F"/>
    <w:rsid w:val="00E62536"/>
    <w:rsid w:val="00E64A99"/>
    <w:rsid w:val="00E66A10"/>
    <w:rsid w:val="00E67ADC"/>
    <w:rsid w:val="00E80DE7"/>
    <w:rsid w:val="00E830CD"/>
    <w:rsid w:val="00E83E48"/>
    <w:rsid w:val="00E86008"/>
    <w:rsid w:val="00E91C41"/>
    <w:rsid w:val="00E92193"/>
    <w:rsid w:val="00E938BD"/>
    <w:rsid w:val="00E958F5"/>
    <w:rsid w:val="00EA0887"/>
    <w:rsid w:val="00EA4513"/>
    <w:rsid w:val="00EA648A"/>
    <w:rsid w:val="00EA6608"/>
    <w:rsid w:val="00EB20FD"/>
    <w:rsid w:val="00EB3A27"/>
    <w:rsid w:val="00EC484A"/>
    <w:rsid w:val="00ED120D"/>
    <w:rsid w:val="00ED282B"/>
    <w:rsid w:val="00ED6F18"/>
    <w:rsid w:val="00ED7BD8"/>
    <w:rsid w:val="00ED7CC5"/>
    <w:rsid w:val="00ED7E61"/>
    <w:rsid w:val="00EF186C"/>
    <w:rsid w:val="00EF1DCC"/>
    <w:rsid w:val="00EF3213"/>
    <w:rsid w:val="00EF437F"/>
    <w:rsid w:val="00EF4643"/>
    <w:rsid w:val="00EF47EC"/>
    <w:rsid w:val="00F008F4"/>
    <w:rsid w:val="00F00A70"/>
    <w:rsid w:val="00F06653"/>
    <w:rsid w:val="00F06D07"/>
    <w:rsid w:val="00F13433"/>
    <w:rsid w:val="00F169E0"/>
    <w:rsid w:val="00F20C64"/>
    <w:rsid w:val="00F24F3C"/>
    <w:rsid w:val="00F25994"/>
    <w:rsid w:val="00F25C5D"/>
    <w:rsid w:val="00F30B38"/>
    <w:rsid w:val="00F335C4"/>
    <w:rsid w:val="00F34C50"/>
    <w:rsid w:val="00F36E62"/>
    <w:rsid w:val="00F37C4A"/>
    <w:rsid w:val="00F46319"/>
    <w:rsid w:val="00F47C77"/>
    <w:rsid w:val="00F5221E"/>
    <w:rsid w:val="00F57968"/>
    <w:rsid w:val="00F62821"/>
    <w:rsid w:val="00F66F5A"/>
    <w:rsid w:val="00F67CE6"/>
    <w:rsid w:val="00F70891"/>
    <w:rsid w:val="00F7117D"/>
    <w:rsid w:val="00F740CE"/>
    <w:rsid w:val="00F77183"/>
    <w:rsid w:val="00F82667"/>
    <w:rsid w:val="00F90F87"/>
    <w:rsid w:val="00F9152B"/>
    <w:rsid w:val="00F9292D"/>
    <w:rsid w:val="00F96C34"/>
    <w:rsid w:val="00F97258"/>
    <w:rsid w:val="00FA0ADA"/>
    <w:rsid w:val="00FA23A8"/>
    <w:rsid w:val="00FA27FC"/>
    <w:rsid w:val="00FA512D"/>
    <w:rsid w:val="00FB1E79"/>
    <w:rsid w:val="00FB46AA"/>
    <w:rsid w:val="00FB57BB"/>
    <w:rsid w:val="00FB7285"/>
    <w:rsid w:val="00FC3019"/>
    <w:rsid w:val="00FC3EAB"/>
    <w:rsid w:val="00FC4EE3"/>
    <w:rsid w:val="00FD4EDD"/>
    <w:rsid w:val="00FD515D"/>
    <w:rsid w:val="00FD649E"/>
    <w:rsid w:val="00FD69CC"/>
    <w:rsid w:val="00FE6834"/>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F2B8"/>
  <w15:docId w15:val="{119CC355-DCF8-4B7C-B4C6-8E50C0D3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5D37"/>
    <w:pPr>
      <w:keepNext/>
      <w:keepLines/>
      <w:spacing w:before="24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ED7BD8"/>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9E5D37"/>
    <w:pPr>
      <w:keepNext/>
      <w:keepLines/>
      <w:spacing w:before="40"/>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3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D7BD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9E5D37"/>
    <w:rPr>
      <w:rFonts w:asciiTheme="majorHAnsi" w:eastAsiaTheme="majorEastAsia" w:hAnsiTheme="majorHAnsi" w:cstheme="majorBidi"/>
      <w:color w:val="243F60" w:themeColor="accent1" w:themeShade="7F"/>
      <w:sz w:val="24"/>
      <w:szCs w:val="24"/>
      <w:lang w:val="en-US"/>
    </w:rPr>
  </w:style>
  <w:style w:type="paragraph" w:styleId="BalloonText">
    <w:name w:val="Balloon Text"/>
    <w:basedOn w:val="Normal"/>
    <w:link w:val="BalloonTextChar"/>
    <w:uiPriority w:val="99"/>
    <w:semiHidden/>
    <w:unhideWhenUsed/>
    <w:rsid w:val="00ED7BD8"/>
    <w:rPr>
      <w:rFonts w:ascii="Tahoma" w:hAnsi="Tahoma" w:cs="Tahoma"/>
      <w:sz w:val="16"/>
      <w:szCs w:val="16"/>
    </w:rPr>
  </w:style>
  <w:style w:type="character" w:customStyle="1" w:styleId="BalloonTextChar">
    <w:name w:val="Balloon Text Char"/>
    <w:basedOn w:val="DefaultParagraphFont"/>
    <w:link w:val="BalloonText"/>
    <w:uiPriority w:val="99"/>
    <w:semiHidden/>
    <w:rsid w:val="00ED7BD8"/>
    <w:rPr>
      <w:rFonts w:ascii="Tahoma" w:hAnsi="Tahoma" w:cs="Tahoma"/>
      <w:sz w:val="16"/>
      <w:szCs w:val="16"/>
    </w:rPr>
  </w:style>
  <w:style w:type="paragraph" w:styleId="ListParagraph">
    <w:name w:val="List Paragraph"/>
    <w:aliases w:val="List Paragraph 1,Bullet L1,List Paragraph11,bullet 1,bullet,My checklist,Bullet List,FooterText,numbered,Paragraphe de liste,VNA - List Paragraph,1.,lp1,lp11,Table Sequence,List A,Norm,abc,Nga 3,Numbered Paragraph,HPL01"/>
    <w:basedOn w:val="Normal"/>
    <w:link w:val="ListParagraphChar"/>
    <w:uiPriority w:val="34"/>
    <w:qFormat/>
    <w:rsid w:val="00ED7BD8"/>
    <w:pPr>
      <w:ind w:left="720"/>
      <w:contextualSpacing/>
    </w:pPr>
    <w:rPr>
      <w:rFonts w:eastAsia="Times New Roman" w:cs="Times New Roman"/>
      <w:szCs w:val="24"/>
      <w:lang w:eastAsia="vi-VN"/>
    </w:rPr>
  </w:style>
  <w:style w:type="character" w:customStyle="1" w:styleId="ListParagraphChar">
    <w:name w:val="List Paragraph Char"/>
    <w:aliases w:val="List Paragraph 1 Char,Bullet L1 Char,List Paragraph11 Char,bullet 1 Char,bullet Char,My checklist Char,Bullet List Char,FooterText Char,numbered Char,Paragraphe de liste Char,VNA - List Paragraph Char,1. Char,lp1 Char,lp11 Char"/>
    <w:link w:val="ListParagraph"/>
    <w:uiPriority w:val="34"/>
    <w:qFormat/>
    <w:locked/>
    <w:rsid w:val="00ED7BD8"/>
    <w:rPr>
      <w:rFonts w:eastAsia="Times New Roman" w:cs="Times New Roman"/>
      <w:szCs w:val="24"/>
      <w:lang w:eastAsia="vi-VN"/>
    </w:rPr>
  </w:style>
  <w:style w:type="paragraph" w:styleId="FootnoteText">
    <w:name w:val="footnote text"/>
    <w:aliases w:val="single space,ft,Car Car Car Car,Car Car Car,Car,Car Car,Footnote Text Char Char Char Char Char Char Ch Char,Car Ca,fn,FOOTNOTES,Footnote Text Char Char Char Char Char,Footnote Text Char Char Char Char Char Char Ch Char Char Char"/>
    <w:basedOn w:val="Normal"/>
    <w:link w:val="FootnoteTextChar"/>
    <w:uiPriority w:val="99"/>
    <w:qFormat/>
    <w:rsid w:val="00ED7BD8"/>
    <w:rPr>
      <w:rFonts w:ascii=".VnTime" w:eastAsia="Times New Roman" w:hAnsi=".VnTime" w:cs="Times New Roman"/>
      <w:sz w:val="20"/>
      <w:szCs w:val="20"/>
      <w:lang w:eastAsia="vi-VN"/>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Footnote Text Char Char Char Char Char Char"/>
    <w:basedOn w:val="DefaultParagraphFont"/>
    <w:link w:val="FootnoteText"/>
    <w:uiPriority w:val="99"/>
    <w:qFormat/>
    <w:rsid w:val="00ED7BD8"/>
    <w:rPr>
      <w:rFonts w:ascii=".VnTime" w:eastAsia="Times New Roman" w:hAnsi=".VnTime" w:cs="Times New Roman"/>
      <w:sz w:val="20"/>
      <w:szCs w:val="20"/>
      <w:lang w:eastAsia="vi-VN"/>
    </w:rPr>
  </w:style>
  <w:style w:type="character" w:styleId="FootnoteReference">
    <w:name w:val="footnote reference"/>
    <w:aliases w:val="Footnote,Footnote text,footnote ref,ftref,BVI fnr,Footnote Text1,Ref,de nota al pie,BearingPoint,16 Point,Superscript 6 Point,fr,f,Footnote + Arial,10 pt,Black,Footnote Text11,(NECG) Footnote Reference,de nota al p,SUPERS,R,10 p,4"/>
    <w:link w:val="CharChar1CharCharCharChar1CharCharCharCharCharCharCharChar"/>
    <w:uiPriority w:val="99"/>
    <w:qFormat/>
    <w:rsid w:val="00ED7BD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ED7BD8"/>
    <w:pPr>
      <w:spacing w:after="160" w:line="240" w:lineRule="exact"/>
    </w:pPr>
    <w:rPr>
      <w:vertAlign w:val="superscript"/>
    </w:rPr>
  </w:style>
  <w:style w:type="character" w:styleId="Hyperlink">
    <w:name w:val="Hyperlink"/>
    <w:uiPriority w:val="99"/>
    <w:unhideWhenUsed/>
    <w:rsid w:val="00ED7BD8"/>
    <w:rPr>
      <w:color w:val="0000FF"/>
      <w:u w:val="single"/>
    </w:rPr>
  </w:style>
  <w:style w:type="paragraph" w:styleId="HTMLPreformatted">
    <w:name w:val="HTML Preformatted"/>
    <w:basedOn w:val="Normal"/>
    <w:link w:val="HTMLPreformattedChar"/>
    <w:uiPriority w:val="99"/>
    <w:unhideWhenUsed/>
    <w:rsid w:val="00ED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D7BD8"/>
    <w:rPr>
      <w:rFonts w:ascii="Courier New" w:eastAsia="Times New Roman" w:hAnsi="Courier New" w:cs="Courier New"/>
      <w:sz w:val="20"/>
      <w:szCs w:val="20"/>
      <w:lang w:val="en-US"/>
    </w:rPr>
  </w:style>
  <w:style w:type="character" w:customStyle="1" w:styleId="y2iqfc">
    <w:name w:val="y2iqfc"/>
    <w:basedOn w:val="DefaultParagraphFont"/>
    <w:rsid w:val="00ED7BD8"/>
  </w:style>
  <w:style w:type="paragraph" w:styleId="Header">
    <w:name w:val="header"/>
    <w:basedOn w:val="Normal"/>
    <w:link w:val="HeaderChar"/>
    <w:uiPriority w:val="99"/>
    <w:unhideWhenUsed/>
    <w:rsid w:val="0057181A"/>
    <w:pPr>
      <w:tabs>
        <w:tab w:val="center" w:pos="4680"/>
        <w:tab w:val="right" w:pos="9360"/>
      </w:tabs>
    </w:pPr>
  </w:style>
  <w:style w:type="character" w:customStyle="1" w:styleId="HeaderChar">
    <w:name w:val="Header Char"/>
    <w:basedOn w:val="DefaultParagraphFont"/>
    <w:link w:val="Header"/>
    <w:uiPriority w:val="99"/>
    <w:rsid w:val="0057181A"/>
  </w:style>
  <w:style w:type="paragraph" w:styleId="Footer">
    <w:name w:val="footer"/>
    <w:basedOn w:val="Normal"/>
    <w:link w:val="FooterChar"/>
    <w:uiPriority w:val="99"/>
    <w:unhideWhenUsed/>
    <w:rsid w:val="0057181A"/>
    <w:pPr>
      <w:tabs>
        <w:tab w:val="center" w:pos="4680"/>
        <w:tab w:val="right" w:pos="9360"/>
      </w:tabs>
    </w:pPr>
  </w:style>
  <w:style w:type="character" w:customStyle="1" w:styleId="FooterChar">
    <w:name w:val="Footer Char"/>
    <w:basedOn w:val="DefaultParagraphFont"/>
    <w:link w:val="Footer"/>
    <w:uiPriority w:val="99"/>
    <w:rsid w:val="0057181A"/>
  </w:style>
  <w:style w:type="paragraph" w:customStyle="1" w:styleId="CharChar">
    <w:name w:val="Char Char"/>
    <w:basedOn w:val="Normal"/>
    <w:rsid w:val="00E0663B"/>
    <w:pPr>
      <w:tabs>
        <w:tab w:val="num" w:pos="1080"/>
      </w:tabs>
      <w:spacing w:after="160" w:line="240" w:lineRule="exact"/>
      <w:ind w:left="1080" w:hanging="360"/>
    </w:pPr>
    <w:rPr>
      <w:rFonts w:ascii="Arial" w:eastAsia="Times New Roman" w:hAnsi="Arial" w:cs="Times New Roman"/>
      <w:b/>
      <w:sz w:val="20"/>
      <w:szCs w:val="20"/>
      <w:lang w:val="en-US"/>
    </w:rPr>
  </w:style>
  <w:style w:type="paragraph" w:customStyle="1" w:styleId="CharChar0">
    <w:name w:val="Char Char"/>
    <w:basedOn w:val="Normal"/>
    <w:rsid w:val="00642785"/>
    <w:pPr>
      <w:tabs>
        <w:tab w:val="num" w:pos="1080"/>
      </w:tabs>
      <w:spacing w:after="160" w:line="240" w:lineRule="exact"/>
      <w:ind w:left="1080" w:hanging="360"/>
    </w:pPr>
    <w:rPr>
      <w:rFonts w:ascii="Arial" w:eastAsia="Times New Roman" w:hAnsi="Arial" w:cs="Times New Roman"/>
      <w:b/>
      <w:sz w:val="20"/>
      <w:szCs w:val="20"/>
      <w:lang w:val="en-US"/>
    </w:rPr>
  </w:style>
  <w:style w:type="paragraph" w:styleId="CommentText">
    <w:name w:val="annotation text"/>
    <w:basedOn w:val="Normal"/>
    <w:link w:val="CommentTextChar"/>
    <w:unhideWhenUsed/>
    <w:rsid w:val="000A2EE1"/>
    <w:pPr>
      <w:spacing w:after="120"/>
      <w:ind w:firstLine="720"/>
      <w:jc w:val="both"/>
    </w:pPr>
    <w:rPr>
      <w:rFonts w:eastAsia="Calibri" w:cs="Times New Roman"/>
      <w:kern w:val="2"/>
      <w:sz w:val="20"/>
      <w:szCs w:val="20"/>
      <w:lang w:val="en-US"/>
    </w:rPr>
  </w:style>
  <w:style w:type="character" w:customStyle="1" w:styleId="CommentTextChar">
    <w:name w:val="Comment Text Char"/>
    <w:basedOn w:val="DefaultParagraphFont"/>
    <w:link w:val="CommentText"/>
    <w:rsid w:val="000A2EE1"/>
    <w:rPr>
      <w:rFonts w:eastAsia="Calibri" w:cs="Times New Roman"/>
      <w:kern w:val="2"/>
      <w:sz w:val="20"/>
      <w:szCs w:val="20"/>
      <w:lang w:val="en-US"/>
    </w:rPr>
  </w:style>
  <w:style w:type="paragraph" w:styleId="NormalWeb">
    <w:name w:val="Normal (Web)"/>
    <w:aliases w:val="Обычный (веб)1,Обычный (веб) Знак,Обычный (веб) Знак1,Обычный (веб) Знак Знак"/>
    <w:basedOn w:val="Normal"/>
    <w:link w:val="NormalWebChar"/>
    <w:unhideWhenUsed/>
    <w:qFormat/>
    <w:rsid w:val="00767F6D"/>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9292D"/>
    <w:rPr>
      <w:rFonts w:eastAsia="Times New Roman" w:cs="Times New Roman"/>
      <w:sz w:val="24"/>
      <w:szCs w:val="24"/>
      <w:lang w:val="en-US"/>
    </w:rPr>
  </w:style>
  <w:style w:type="character" w:styleId="Strong">
    <w:name w:val="Strong"/>
    <w:basedOn w:val="DefaultParagraphFont"/>
    <w:uiPriority w:val="22"/>
    <w:qFormat/>
    <w:rsid w:val="007669FD"/>
    <w:rPr>
      <w:b/>
      <w:bCs/>
    </w:rPr>
  </w:style>
  <w:style w:type="paragraph" w:styleId="Bibliography">
    <w:name w:val="Bibliography"/>
    <w:basedOn w:val="Normal"/>
    <w:next w:val="Normal"/>
    <w:uiPriority w:val="37"/>
    <w:unhideWhenUsed/>
    <w:rsid w:val="0030324A"/>
    <w:rPr>
      <w:rFonts w:eastAsia="Times New Roman" w:cs="Times New Roman"/>
      <w:sz w:val="24"/>
      <w:szCs w:val="24"/>
      <w:lang w:val="en-US"/>
    </w:rPr>
  </w:style>
  <w:style w:type="table" w:styleId="TableGrid">
    <w:name w:val="Table Grid"/>
    <w:basedOn w:val="TableNormal"/>
    <w:uiPriority w:val="39"/>
    <w:rsid w:val="009E5D37"/>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5D37"/>
    <w:rPr>
      <w:i/>
      <w:iCs/>
    </w:rPr>
  </w:style>
  <w:style w:type="character" w:customStyle="1" w:styleId="logo">
    <w:name w:val="logo"/>
    <w:basedOn w:val="DefaultParagraphFont"/>
    <w:rsid w:val="009E5D37"/>
  </w:style>
  <w:style w:type="paragraph" w:customStyle="1" w:styleId="text-change-size">
    <w:name w:val="text-change-size"/>
    <w:basedOn w:val="Normal"/>
    <w:rsid w:val="009E5D37"/>
    <w:pPr>
      <w:spacing w:before="100" w:beforeAutospacing="1" w:after="100" w:afterAutospacing="1"/>
    </w:pPr>
    <w:rPr>
      <w:rFonts w:eastAsia="Times New Roman" w:cs="Times New Roman"/>
      <w:sz w:val="24"/>
      <w:szCs w:val="24"/>
      <w:lang w:val="en-US"/>
    </w:rPr>
  </w:style>
  <w:style w:type="character" w:customStyle="1" w:styleId="UnresolvedMention1">
    <w:name w:val="Unresolved Mention1"/>
    <w:basedOn w:val="DefaultParagraphFont"/>
    <w:uiPriority w:val="99"/>
    <w:semiHidden/>
    <w:unhideWhenUsed/>
    <w:rsid w:val="009E5D37"/>
    <w:rPr>
      <w:color w:val="605E5C"/>
      <w:shd w:val="clear" w:color="auto" w:fill="E1DFDD"/>
    </w:rPr>
  </w:style>
  <w:style w:type="paragraph" w:styleId="Caption">
    <w:name w:val="caption"/>
    <w:basedOn w:val="Normal"/>
    <w:next w:val="Normal"/>
    <w:uiPriority w:val="35"/>
    <w:unhideWhenUsed/>
    <w:qFormat/>
    <w:rsid w:val="00F37C4A"/>
    <w:pPr>
      <w:spacing w:after="200"/>
    </w:pPr>
    <w:rPr>
      <w:rFonts w:ascii="Calibri" w:eastAsia="Calibri" w:hAnsi="Calibri" w:cs="Calibri"/>
      <w:b/>
      <w:bCs/>
      <w:color w:val="4F81BD" w:themeColor="accent1"/>
      <w:sz w:val="18"/>
      <w:szCs w:val="18"/>
      <w:lang w:val="en-US"/>
    </w:rPr>
  </w:style>
  <w:style w:type="character" w:customStyle="1" w:styleId="fontstyle01">
    <w:name w:val="fontstyle01"/>
    <w:basedOn w:val="DefaultParagraphFont"/>
    <w:rsid w:val="00F37C4A"/>
    <w:rPr>
      <w:rFonts w:ascii="Times New Roman" w:hAnsi="Times New Roman" w:cs="Times New Roman" w:hint="default"/>
      <w:b w:val="0"/>
      <w:bCs w:val="0"/>
      <w:i w:val="0"/>
      <w:iCs w:val="0"/>
      <w:color w:val="000000"/>
      <w:sz w:val="22"/>
      <w:szCs w:val="22"/>
    </w:rPr>
  </w:style>
  <w:style w:type="paragraph" w:styleId="BodyText">
    <w:name w:val="Body Text"/>
    <w:basedOn w:val="Normal"/>
    <w:link w:val="BodyTextChar"/>
    <w:uiPriority w:val="1"/>
    <w:qFormat/>
    <w:rsid w:val="003A5FF7"/>
    <w:pPr>
      <w:widowControl w:val="0"/>
      <w:autoSpaceDE w:val="0"/>
      <w:autoSpaceDN w:val="0"/>
    </w:pPr>
    <w:rPr>
      <w:rFonts w:eastAsia="Times New Roman" w:cs="Times New Roman"/>
      <w:sz w:val="24"/>
      <w:szCs w:val="24"/>
      <w:lang w:val="en-US" w:bidi="en-US"/>
    </w:rPr>
  </w:style>
  <w:style w:type="character" w:customStyle="1" w:styleId="BodyTextChar">
    <w:name w:val="Body Text Char"/>
    <w:basedOn w:val="DefaultParagraphFont"/>
    <w:link w:val="BodyText"/>
    <w:uiPriority w:val="1"/>
    <w:qFormat/>
    <w:rsid w:val="003A5FF7"/>
    <w:rPr>
      <w:rFonts w:eastAsia="Times New Roman" w:cs="Times New Roman"/>
      <w:sz w:val="24"/>
      <w:szCs w:val="24"/>
      <w:lang w:val="en-US" w:bidi="en-US"/>
    </w:rPr>
  </w:style>
  <w:style w:type="paragraph" w:styleId="EndnoteText">
    <w:name w:val="endnote text"/>
    <w:basedOn w:val="Normal"/>
    <w:link w:val="EndnoteTextChar"/>
    <w:uiPriority w:val="99"/>
    <w:qFormat/>
    <w:rsid w:val="00686FEF"/>
    <w:pPr>
      <w:spacing w:after="200" w:line="276" w:lineRule="auto"/>
    </w:pPr>
    <w:rPr>
      <w:rFonts w:ascii="Arial" w:eastAsia="Calibri" w:hAnsi="Arial" w:cs="Times New Roman"/>
      <w:sz w:val="20"/>
      <w:szCs w:val="20"/>
    </w:rPr>
  </w:style>
  <w:style w:type="character" w:customStyle="1" w:styleId="EndnoteTextChar">
    <w:name w:val="Endnote Text Char"/>
    <w:basedOn w:val="DefaultParagraphFont"/>
    <w:link w:val="EndnoteText"/>
    <w:uiPriority w:val="99"/>
    <w:rsid w:val="00686FEF"/>
    <w:rPr>
      <w:rFonts w:ascii="Arial" w:eastAsia="Calibri" w:hAnsi="Arial" w:cs="Times New Roman"/>
      <w:sz w:val="20"/>
      <w:szCs w:val="20"/>
    </w:rPr>
  </w:style>
  <w:style w:type="character" w:customStyle="1" w:styleId="UnresolvedMention2">
    <w:name w:val="Unresolved Mention2"/>
    <w:basedOn w:val="DefaultParagraphFont"/>
    <w:uiPriority w:val="99"/>
    <w:semiHidden/>
    <w:unhideWhenUsed/>
    <w:rsid w:val="00132329"/>
    <w:rPr>
      <w:color w:val="605E5C"/>
      <w:shd w:val="clear" w:color="auto" w:fill="E1DFDD"/>
    </w:rPr>
  </w:style>
  <w:style w:type="character" w:customStyle="1" w:styleId="Vnbnnidung">
    <w:name w:val="Văn bản nội dung_"/>
    <w:basedOn w:val="DefaultParagraphFont"/>
    <w:link w:val="Vnbnnidung0"/>
    <w:rsid w:val="003403EE"/>
    <w:rPr>
      <w:rFonts w:eastAsia="Times New Roman" w:cs="Times New Roman"/>
      <w:szCs w:val="28"/>
    </w:rPr>
  </w:style>
  <w:style w:type="paragraph" w:customStyle="1" w:styleId="Vnbnnidung0">
    <w:name w:val="Văn bản nội dung"/>
    <w:basedOn w:val="Normal"/>
    <w:link w:val="Vnbnnidung"/>
    <w:rsid w:val="003403EE"/>
    <w:pPr>
      <w:widowControl w:val="0"/>
      <w:ind w:firstLine="400"/>
    </w:pPr>
    <w:rPr>
      <w:rFonts w:eastAsia="Times New Roman" w:cs="Times New Roman"/>
      <w:szCs w:val="28"/>
    </w:rPr>
  </w:style>
  <w:style w:type="character" w:customStyle="1" w:styleId="CommentSubjectChar">
    <w:name w:val="Comment Subject Char"/>
    <w:basedOn w:val="CommentTextChar"/>
    <w:link w:val="CommentSubject"/>
    <w:uiPriority w:val="99"/>
    <w:semiHidden/>
    <w:rsid w:val="00F46319"/>
    <w:rPr>
      <w:rFonts w:asciiTheme="minorHAnsi" w:eastAsia="Calibri" w:hAnsiTheme="minorHAnsi" w:cs="Times New Roman"/>
      <w:b/>
      <w:bCs/>
      <w:kern w:val="2"/>
      <w:sz w:val="20"/>
      <w:szCs w:val="20"/>
      <w:lang w:val="en-US"/>
    </w:rPr>
  </w:style>
  <w:style w:type="paragraph" w:styleId="CommentSubject">
    <w:name w:val="annotation subject"/>
    <w:basedOn w:val="CommentText"/>
    <w:next w:val="CommentText"/>
    <w:link w:val="CommentSubjectChar"/>
    <w:uiPriority w:val="99"/>
    <w:semiHidden/>
    <w:unhideWhenUsed/>
    <w:rsid w:val="00F46319"/>
    <w:pPr>
      <w:spacing w:after="160"/>
      <w:ind w:firstLine="0"/>
      <w:jc w:val="left"/>
    </w:pPr>
    <w:rPr>
      <w:rFonts w:asciiTheme="minorHAnsi" w:eastAsiaTheme="minorHAnsi" w:hAnsiTheme="minorHAnsi" w:cstheme="minorBidi"/>
      <w:b/>
      <w:bCs/>
      <w:kern w:val="0"/>
    </w:rPr>
  </w:style>
  <w:style w:type="character" w:customStyle="1" w:styleId="Bodytext2Bold">
    <w:name w:val="Body text (2) + Bold"/>
    <w:aliases w:val="Italic,Spacing -1 pt,Body text (5) + Bold"/>
    <w:basedOn w:val="DefaultParagraphFont"/>
    <w:rsid w:val="0099001C"/>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fontstyle21">
    <w:name w:val="fontstyle21"/>
    <w:basedOn w:val="DefaultParagraphFont"/>
    <w:rsid w:val="009E4C91"/>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3B76AF"/>
    <w:rPr>
      <w:sz w:val="16"/>
      <w:szCs w:val="16"/>
    </w:rPr>
  </w:style>
  <w:style w:type="paragraph" w:styleId="BodyText3">
    <w:name w:val="Body Text 3"/>
    <w:basedOn w:val="Normal"/>
    <w:link w:val="BodyText3Char"/>
    <w:uiPriority w:val="99"/>
    <w:unhideWhenUsed/>
    <w:rsid w:val="00B725EF"/>
    <w:pPr>
      <w:spacing w:after="120"/>
      <w:jc w:val="both"/>
    </w:pPr>
    <w:rPr>
      <w:sz w:val="16"/>
      <w:szCs w:val="16"/>
      <w:lang w:val="en-US"/>
    </w:rPr>
  </w:style>
  <w:style w:type="character" w:customStyle="1" w:styleId="BodyText3Char">
    <w:name w:val="Body Text 3 Char"/>
    <w:basedOn w:val="DefaultParagraphFont"/>
    <w:link w:val="BodyText3"/>
    <w:uiPriority w:val="99"/>
    <w:rsid w:val="00B725EF"/>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3343">
      <w:bodyDiv w:val="1"/>
      <w:marLeft w:val="0"/>
      <w:marRight w:val="0"/>
      <w:marTop w:val="0"/>
      <w:marBottom w:val="0"/>
      <w:divBdr>
        <w:top w:val="none" w:sz="0" w:space="0" w:color="auto"/>
        <w:left w:val="none" w:sz="0" w:space="0" w:color="auto"/>
        <w:bottom w:val="none" w:sz="0" w:space="0" w:color="auto"/>
        <w:right w:val="none" w:sz="0" w:space="0" w:color="auto"/>
      </w:divBdr>
    </w:div>
    <w:div w:id="110247052">
      <w:bodyDiv w:val="1"/>
      <w:marLeft w:val="0"/>
      <w:marRight w:val="0"/>
      <w:marTop w:val="0"/>
      <w:marBottom w:val="0"/>
      <w:divBdr>
        <w:top w:val="none" w:sz="0" w:space="0" w:color="auto"/>
        <w:left w:val="none" w:sz="0" w:space="0" w:color="auto"/>
        <w:bottom w:val="none" w:sz="0" w:space="0" w:color="auto"/>
        <w:right w:val="none" w:sz="0" w:space="0" w:color="auto"/>
      </w:divBdr>
    </w:div>
    <w:div w:id="125439772">
      <w:bodyDiv w:val="1"/>
      <w:marLeft w:val="0"/>
      <w:marRight w:val="0"/>
      <w:marTop w:val="0"/>
      <w:marBottom w:val="0"/>
      <w:divBdr>
        <w:top w:val="none" w:sz="0" w:space="0" w:color="auto"/>
        <w:left w:val="none" w:sz="0" w:space="0" w:color="auto"/>
        <w:bottom w:val="none" w:sz="0" w:space="0" w:color="auto"/>
        <w:right w:val="none" w:sz="0" w:space="0" w:color="auto"/>
      </w:divBdr>
    </w:div>
    <w:div w:id="277837885">
      <w:bodyDiv w:val="1"/>
      <w:marLeft w:val="0"/>
      <w:marRight w:val="0"/>
      <w:marTop w:val="0"/>
      <w:marBottom w:val="0"/>
      <w:divBdr>
        <w:top w:val="none" w:sz="0" w:space="0" w:color="auto"/>
        <w:left w:val="none" w:sz="0" w:space="0" w:color="auto"/>
        <w:bottom w:val="none" w:sz="0" w:space="0" w:color="auto"/>
        <w:right w:val="none" w:sz="0" w:space="0" w:color="auto"/>
      </w:divBdr>
    </w:div>
    <w:div w:id="314603244">
      <w:bodyDiv w:val="1"/>
      <w:marLeft w:val="0"/>
      <w:marRight w:val="0"/>
      <w:marTop w:val="0"/>
      <w:marBottom w:val="0"/>
      <w:divBdr>
        <w:top w:val="none" w:sz="0" w:space="0" w:color="auto"/>
        <w:left w:val="none" w:sz="0" w:space="0" w:color="auto"/>
        <w:bottom w:val="none" w:sz="0" w:space="0" w:color="auto"/>
        <w:right w:val="none" w:sz="0" w:space="0" w:color="auto"/>
      </w:divBdr>
    </w:div>
    <w:div w:id="318385172">
      <w:bodyDiv w:val="1"/>
      <w:marLeft w:val="0"/>
      <w:marRight w:val="0"/>
      <w:marTop w:val="0"/>
      <w:marBottom w:val="0"/>
      <w:divBdr>
        <w:top w:val="none" w:sz="0" w:space="0" w:color="auto"/>
        <w:left w:val="none" w:sz="0" w:space="0" w:color="auto"/>
        <w:bottom w:val="none" w:sz="0" w:space="0" w:color="auto"/>
        <w:right w:val="none" w:sz="0" w:space="0" w:color="auto"/>
      </w:divBdr>
    </w:div>
    <w:div w:id="337541819">
      <w:bodyDiv w:val="1"/>
      <w:marLeft w:val="0"/>
      <w:marRight w:val="0"/>
      <w:marTop w:val="0"/>
      <w:marBottom w:val="0"/>
      <w:divBdr>
        <w:top w:val="none" w:sz="0" w:space="0" w:color="auto"/>
        <w:left w:val="none" w:sz="0" w:space="0" w:color="auto"/>
        <w:bottom w:val="none" w:sz="0" w:space="0" w:color="auto"/>
        <w:right w:val="none" w:sz="0" w:space="0" w:color="auto"/>
      </w:divBdr>
    </w:div>
    <w:div w:id="516114047">
      <w:bodyDiv w:val="1"/>
      <w:marLeft w:val="0"/>
      <w:marRight w:val="0"/>
      <w:marTop w:val="0"/>
      <w:marBottom w:val="0"/>
      <w:divBdr>
        <w:top w:val="none" w:sz="0" w:space="0" w:color="auto"/>
        <w:left w:val="none" w:sz="0" w:space="0" w:color="auto"/>
        <w:bottom w:val="none" w:sz="0" w:space="0" w:color="auto"/>
        <w:right w:val="none" w:sz="0" w:space="0" w:color="auto"/>
      </w:divBdr>
    </w:div>
    <w:div w:id="597762089">
      <w:bodyDiv w:val="1"/>
      <w:marLeft w:val="0"/>
      <w:marRight w:val="0"/>
      <w:marTop w:val="0"/>
      <w:marBottom w:val="0"/>
      <w:divBdr>
        <w:top w:val="none" w:sz="0" w:space="0" w:color="auto"/>
        <w:left w:val="none" w:sz="0" w:space="0" w:color="auto"/>
        <w:bottom w:val="none" w:sz="0" w:space="0" w:color="auto"/>
        <w:right w:val="none" w:sz="0" w:space="0" w:color="auto"/>
      </w:divBdr>
    </w:div>
    <w:div w:id="688334107">
      <w:bodyDiv w:val="1"/>
      <w:marLeft w:val="0"/>
      <w:marRight w:val="0"/>
      <w:marTop w:val="0"/>
      <w:marBottom w:val="0"/>
      <w:divBdr>
        <w:top w:val="none" w:sz="0" w:space="0" w:color="auto"/>
        <w:left w:val="none" w:sz="0" w:space="0" w:color="auto"/>
        <w:bottom w:val="none" w:sz="0" w:space="0" w:color="auto"/>
        <w:right w:val="none" w:sz="0" w:space="0" w:color="auto"/>
      </w:divBdr>
    </w:div>
    <w:div w:id="787823598">
      <w:bodyDiv w:val="1"/>
      <w:marLeft w:val="0"/>
      <w:marRight w:val="0"/>
      <w:marTop w:val="0"/>
      <w:marBottom w:val="0"/>
      <w:divBdr>
        <w:top w:val="none" w:sz="0" w:space="0" w:color="auto"/>
        <w:left w:val="none" w:sz="0" w:space="0" w:color="auto"/>
        <w:bottom w:val="none" w:sz="0" w:space="0" w:color="auto"/>
        <w:right w:val="none" w:sz="0" w:space="0" w:color="auto"/>
      </w:divBdr>
    </w:div>
    <w:div w:id="958337966">
      <w:bodyDiv w:val="1"/>
      <w:marLeft w:val="0"/>
      <w:marRight w:val="0"/>
      <w:marTop w:val="0"/>
      <w:marBottom w:val="0"/>
      <w:divBdr>
        <w:top w:val="none" w:sz="0" w:space="0" w:color="auto"/>
        <w:left w:val="none" w:sz="0" w:space="0" w:color="auto"/>
        <w:bottom w:val="none" w:sz="0" w:space="0" w:color="auto"/>
        <w:right w:val="none" w:sz="0" w:space="0" w:color="auto"/>
      </w:divBdr>
    </w:div>
    <w:div w:id="991367467">
      <w:bodyDiv w:val="1"/>
      <w:marLeft w:val="0"/>
      <w:marRight w:val="0"/>
      <w:marTop w:val="0"/>
      <w:marBottom w:val="0"/>
      <w:divBdr>
        <w:top w:val="none" w:sz="0" w:space="0" w:color="auto"/>
        <w:left w:val="none" w:sz="0" w:space="0" w:color="auto"/>
        <w:bottom w:val="none" w:sz="0" w:space="0" w:color="auto"/>
        <w:right w:val="none" w:sz="0" w:space="0" w:color="auto"/>
      </w:divBdr>
    </w:div>
    <w:div w:id="1131872611">
      <w:bodyDiv w:val="1"/>
      <w:marLeft w:val="0"/>
      <w:marRight w:val="0"/>
      <w:marTop w:val="0"/>
      <w:marBottom w:val="0"/>
      <w:divBdr>
        <w:top w:val="none" w:sz="0" w:space="0" w:color="auto"/>
        <w:left w:val="none" w:sz="0" w:space="0" w:color="auto"/>
        <w:bottom w:val="none" w:sz="0" w:space="0" w:color="auto"/>
        <w:right w:val="none" w:sz="0" w:space="0" w:color="auto"/>
      </w:divBdr>
    </w:div>
    <w:div w:id="1152454672">
      <w:bodyDiv w:val="1"/>
      <w:marLeft w:val="0"/>
      <w:marRight w:val="0"/>
      <w:marTop w:val="0"/>
      <w:marBottom w:val="0"/>
      <w:divBdr>
        <w:top w:val="none" w:sz="0" w:space="0" w:color="auto"/>
        <w:left w:val="none" w:sz="0" w:space="0" w:color="auto"/>
        <w:bottom w:val="none" w:sz="0" w:space="0" w:color="auto"/>
        <w:right w:val="none" w:sz="0" w:space="0" w:color="auto"/>
      </w:divBdr>
    </w:div>
    <w:div w:id="1164973340">
      <w:bodyDiv w:val="1"/>
      <w:marLeft w:val="0"/>
      <w:marRight w:val="0"/>
      <w:marTop w:val="0"/>
      <w:marBottom w:val="0"/>
      <w:divBdr>
        <w:top w:val="none" w:sz="0" w:space="0" w:color="auto"/>
        <w:left w:val="none" w:sz="0" w:space="0" w:color="auto"/>
        <w:bottom w:val="none" w:sz="0" w:space="0" w:color="auto"/>
        <w:right w:val="none" w:sz="0" w:space="0" w:color="auto"/>
      </w:divBdr>
    </w:div>
    <w:div w:id="1222519685">
      <w:bodyDiv w:val="1"/>
      <w:marLeft w:val="0"/>
      <w:marRight w:val="0"/>
      <w:marTop w:val="0"/>
      <w:marBottom w:val="0"/>
      <w:divBdr>
        <w:top w:val="none" w:sz="0" w:space="0" w:color="auto"/>
        <w:left w:val="none" w:sz="0" w:space="0" w:color="auto"/>
        <w:bottom w:val="none" w:sz="0" w:space="0" w:color="auto"/>
        <w:right w:val="none" w:sz="0" w:space="0" w:color="auto"/>
      </w:divBdr>
    </w:div>
    <w:div w:id="1402175410">
      <w:bodyDiv w:val="1"/>
      <w:marLeft w:val="0"/>
      <w:marRight w:val="0"/>
      <w:marTop w:val="0"/>
      <w:marBottom w:val="0"/>
      <w:divBdr>
        <w:top w:val="none" w:sz="0" w:space="0" w:color="auto"/>
        <w:left w:val="none" w:sz="0" w:space="0" w:color="auto"/>
        <w:bottom w:val="none" w:sz="0" w:space="0" w:color="auto"/>
        <w:right w:val="none" w:sz="0" w:space="0" w:color="auto"/>
      </w:divBdr>
    </w:div>
    <w:div w:id="1426613046">
      <w:bodyDiv w:val="1"/>
      <w:marLeft w:val="0"/>
      <w:marRight w:val="0"/>
      <w:marTop w:val="0"/>
      <w:marBottom w:val="0"/>
      <w:divBdr>
        <w:top w:val="none" w:sz="0" w:space="0" w:color="auto"/>
        <w:left w:val="none" w:sz="0" w:space="0" w:color="auto"/>
        <w:bottom w:val="none" w:sz="0" w:space="0" w:color="auto"/>
        <w:right w:val="none" w:sz="0" w:space="0" w:color="auto"/>
      </w:divBdr>
    </w:div>
    <w:div w:id="1499079523">
      <w:bodyDiv w:val="1"/>
      <w:marLeft w:val="0"/>
      <w:marRight w:val="0"/>
      <w:marTop w:val="0"/>
      <w:marBottom w:val="0"/>
      <w:divBdr>
        <w:top w:val="none" w:sz="0" w:space="0" w:color="auto"/>
        <w:left w:val="none" w:sz="0" w:space="0" w:color="auto"/>
        <w:bottom w:val="none" w:sz="0" w:space="0" w:color="auto"/>
        <w:right w:val="none" w:sz="0" w:space="0" w:color="auto"/>
      </w:divBdr>
    </w:div>
    <w:div w:id="1576473733">
      <w:bodyDiv w:val="1"/>
      <w:marLeft w:val="0"/>
      <w:marRight w:val="0"/>
      <w:marTop w:val="0"/>
      <w:marBottom w:val="0"/>
      <w:divBdr>
        <w:top w:val="none" w:sz="0" w:space="0" w:color="auto"/>
        <w:left w:val="none" w:sz="0" w:space="0" w:color="auto"/>
        <w:bottom w:val="none" w:sz="0" w:space="0" w:color="auto"/>
        <w:right w:val="none" w:sz="0" w:space="0" w:color="auto"/>
      </w:divBdr>
    </w:div>
    <w:div w:id="1627159089">
      <w:bodyDiv w:val="1"/>
      <w:marLeft w:val="0"/>
      <w:marRight w:val="0"/>
      <w:marTop w:val="0"/>
      <w:marBottom w:val="0"/>
      <w:divBdr>
        <w:top w:val="none" w:sz="0" w:space="0" w:color="auto"/>
        <w:left w:val="none" w:sz="0" w:space="0" w:color="auto"/>
        <w:bottom w:val="none" w:sz="0" w:space="0" w:color="auto"/>
        <w:right w:val="none" w:sz="0" w:space="0" w:color="auto"/>
      </w:divBdr>
    </w:div>
    <w:div w:id="1908033332">
      <w:bodyDiv w:val="1"/>
      <w:marLeft w:val="0"/>
      <w:marRight w:val="0"/>
      <w:marTop w:val="0"/>
      <w:marBottom w:val="0"/>
      <w:divBdr>
        <w:top w:val="none" w:sz="0" w:space="0" w:color="auto"/>
        <w:left w:val="none" w:sz="0" w:space="0" w:color="auto"/>
        <w:bottom w:val="none" w:sz="0" w:space="0" w:color="auto"/>
        <w:right w:val="none" w:sz="0" w:space="0" w:color="auto"/>
      </w:divBdr>
    </w:div>
    <w:div w:id="1922640700">
      <w:bodyDiv w:val="1"/>
      <w:marLeft w:val="0"/>
      <w:marRight w:val="0"/>
      <w:marTop w:val="0"/>
      <w:marBottom w:val="0"/>
      <w:divBdr>
        <w:top w:val="none" w:sz="0" w:space="0" w:color="auto"/>
        <w:left w:val="none" w:sz="0" w:space="0" w:color="auto"/>
        <w:bottom w:val="none" w:sz="0" w:space="0" w:color="auto"/>
        <w:right w:val="none" w:sz="0" w:space="0" w:color="auto"/>
      </w:divBdr>
    </w:div>
    <w:div w:id="1931040165">
      <w:bodyDiv w:val="1"/>
      <w:marLeft w:val="0"/>
      <w:marRight w:val="0"/>
      <w:marTop w:val="0"/>
      <w:marBottom w:val="0"/>
      <w:divBdr>
        <w:top w:val="none" w:sz="0" w:space="0" w:color="auto"/>
        <w:left w:val="none" w:sz="0" w:space="0" w:color="auto"/>
        <w:bottom w:val="none" w:sz="0" w:space="0" w:color="auto"/>
        <w:right w:val="none" w:sz="0" w:space="0" w:color="auto"/>
      </w:divBdr>
    </w:div>
    <w:div w:id="20966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Gar24</b:Tag>
    <b:SourceType>InternetSite</b:SourceType>
    <b:Guid>{9A1D4C0E-EC6D-4936-86BF-46DB0B3A2DCF}</b:Guid>
    <b:Title>Gartner peer insight “</b:Title>
    <b:Year>2024</b:Year>
    <b:Author>
      <b:Author>
        <b:NameList>
          <b:Person>
            <b:Last>Gartner</b:Last>
          </b:Person>
        </b:NameList>
      </b:Author>
    </b:Author>
    <b:InternetSiteTitle>Digital Conversion</b:InternetSiteTitle>
    <b:Month>8</b:Month>
    <b:Day>20</b:Day>
    <b:URL>https://www.gartner.com/peer-insights/home</b:URL>
    <b:RefOrder>8</b:RefOrder>
  </b:Source>
  <b:Source>
    <b:Tag>BộT20</b:Tag>
    <b:SourceType>Book</b:SourceType>
    <b:Guid>{4C6A2301-4D28-4768-9967-993052817C24}</b:Guid>
    <b:Title>Cẩm nang chuyển đổi số</b:Title>
    <b:Year>2020</b:Year>
    <b:Author>
      <b:Author>
        <b:NameList>
          <b:Person>
            <b:Last>Bộ Thông tin và truyền thông</b:Last>
          </b:Person>
        </b:NameList>
      </b:Author>
    </b:Author>
    <b:City>Hà Nội</b:City>
    <b:Publisher> Nhà xuất bản Thông tin và truyền thông</b:Publisher>
    <b:RefOrder>9</b:RefOrder>
  </b:Source>
  <b:Source>
    <b:Tag>FSI24</b:Tag>
    <b:SourceType>InternetSite</b:SourceType>
    <b:Guid>{49D16268-69A4-468F-B26A-C3DE90E5A802}</b:Guid>
    <b:Title>FSI</b:Title>
    <b:Year>2024</b:Year>
    <b:Author>
      <b:Author>
        <b:NameList>
          <b:Person>
            <b:Last>FSI</b:Last>
          </b:Person>
        </b:NameList>
      </b:Author>
    </b:Author>
    <b:InternetSiteTitle>Chuyển đổi số trong ngành Du lịch là tất yếu trong năm 2024</b:InternetSiteTitle>
    <b:Month>1</b:Month>
    <b:Day>23</b:Day>
    <b:URL>https://fsivietnam.com.vn/giai-phap-chuyen-doi-so-nganh-du-lich</b:URL>
    <b:RefOrder>10</b:RefOrder>
  </b:Source>
  <b:Source>
    <b:Tag>Cục23</b:Tag>
    <b:SourceType>Book</b:SourceType>
    <b:Guid>{EF8E0097-050D-46CC-8DA9-5B25671E3069}</b:Guid>
    <b:Title>Niên giám thống kê Đồng Nai năm 2023</b:Title>
    <b:Year>2023</b:Year>
    <b:Author>
      <b:Author>
        <b:NameList>
          <b:Person>
            <b:Last>Nai</b:Last>
            <b:First>Cục</b:First>
            <b:Middle>Thống kê Đồng</b:Middle>
          </b:Person>
        </b:NameList>
      </b:Author>
    </b:Author>
    <b:City>Hà Nội</b:City>
    <b:Publisher> Nhà xuất bản Thống kê</b:Publisher>
    <b:RefOrder>11</b:RefOrder>
  </b:Source>
  <b:Source>
    <b:Tag>Cục231</b:Tag>
    <b:SourceType>Book</b:SourceType>
    <b:Guid>{4D1E9AF9-3ECA-4F48-AF25-72F915D3F64F}</b:Guid>
    <b:Author>
      <b:Author>
        <b:Corporate>Cục Thống kê Đồng Nai</b:Corporate>
      </b:Author>
    </b:Author>
    <b:Title>Niên giám thống kê Đồng Nai năm 2023</b:Title>
    <b:Year>2023</b:Year>
    <b:City>Hà Nội</b:City>
    <b:Publisher>Nhà xuất bản Thống kê</b:Publisher>
    <b:RefOrder>12</b:RefOrder>
  </b:Source>
  <b:Source>
    <b:Tag>Tho24</b:Tag>
    <b:SourceType>JournalArticle</b:SourceType>
    <b:Guid>{44C5CC3F-4365-4198-B22A-D496869D71E8}</b:Guid>
    <b:Title>Challenges and Trends of Digital Innovation in the Tourism Sector: Contemporary Literature Review”</b:Title>
    <b:Year>2024</b:Year>
    <b:Author>
      <b:Author>
        <b:Corporate>Thomas, G.</b:Corporate>
      </b:Author>
    </b:Author>
    <b:JournalName>Open Journal of Business and Management, 12, DOI: 10.4236/ojbm.2024.121013.</b:JournalName>
    <b:Pages>179-190</b:Pages>
    <b:RefOrder>13</b:RefOrder>
  </b:Source>
  <b:Source>
    <b:Tag>LêH22</b:Tag>
    <b:SourceType>InternetSite</b:SourceType>
    <b:Guid>{41380325-CBEF-4E32-A85A-185BCF91F32A}</b:Guid>
    <b:Title>Khoa Du lịch UEH</b:Title>
    <b:Year>2022</b:Year>
    <b:Author>
      <b:Author>
        <b:Corporate>Lê Hữu Nghĩa và cộng sự</b:Corporate>
      </b:Author>
    </b:Author>
    <b:InternetSiteTitle>Chuyển Đổi Số Trong Ngành Du Lịch Việt Nam</b:InternetSiteTitle>
    <b:Month>5</b:Month>
    <b:Day>5</b:Day>
    <b:URL>https://future.ueh.edu.vn/chi-tiet-knowlege</b:URL>
    <b:RefOrder>14</b:RefOrder>
  </b:Source>
  <b:Source>
    <b:Tag>Hoà23</b:Tag>
    <b:SourceType>ConferenceProceedings</b:SourceType>
    <b:Guid>{AF7B0C88-82C5-419F-B407-2688A3ECA5BC}</b:Guid>
    <b:Author>
      <b:Author>
        <b:Corporate>Hoàng Thị Mỹ Nhị và Nguyễn Văn Dần</b:Corporate>
      </b:Author>
    </b:Author>
    <b:Title>Những thách thức của chuyển đổi số ngành du lịch hiện nay</b:Title>
    <b:Pages>409-414.</b:Pages>
    <b:Year>2023,</b:Year>
    <b:ConferenceName>Hội thảo chuyển đổi số nền kinh tế Việt Nam</b:ConferenceName>
    <b:City>Hà Nội</b:City>
    <b:Publisher>Nhà xuất bản Tài chính</b:Publisher>
    <b:RefOrder>15</b:RefOrder>
  </b:Source>
  <b:Source>
    <b:Tag>Chử21</b:Tag>
    <b:SourceType>JournalArticle</b:SourceType>
    <b:Guid>{781342FD-888F-4A96-9333-BEF31EBB74B1}</b:Guid>
    <b:Author>
      <b:Author>
        <b:NameList>
          <b:Person>
            <b:Last>Quyết</b:Last>
            <b:First>Chử</b:First>
            <b:Middle>Bá</b:Middle>
          </b:Person>
        </b:NameList>
      </b:Author>
    </b:Author>
    <b:Title>Nghiên cứu khám phá các nhân tố ảnh hưởng đến chuyển đổi số thành công của doanh nghiệp ở Việt Nam</b:Title>
    <b:JournalName>Tạp chí Khoa học &amp; Đào tạo Ngân hàng, số 233 </b:JournalName>
    <b:Year>2021</b:Year>
    <b:Pages>57- 70.</b:Pages>
    <b:RefOrder>16</b:RefOrder>
  </b:Source>
  <b:Source>
    <b:Tag>Khú22</b:Tag>
    <b:SourceType>JournalArticle</b:SourceType>
    <b:Guid>{38455600-26A3-478C-AE75-D455FFFB8788}</b:Guid>
    <b:Author>
      <b:Author>
        <b:Corporate>Khúc Thế Anh và cộng sự</b:Corporate>
      </b:Author>
    </b:Author>
    <b:Title> “Nghiên cứu các nhân tố ảnh hưởng tới chất lượng quy trình chuyển đổi số tại các ngân hàng thương mại Việt Nam</b:Title>
    <b:JournalName>Tạp chí Ngân hàng; Số 14 </b:JournalName>
    <b:Year>2022</b:Year>
    <b:Pages>22-31</b:Pages>
    <b:RefOrder>17</b:RefOrder>
  </b:Source>
  <b:Source>
    <b:Tag>Phạ211</b:Tag>
    <b:SourceType>JournalArticle</b:SourceType>
    <b:Guid>{4091B35E-6FF6-4097-927A-F190EEF837DD}</b:Guid>
    <b:Author>
      <b:Author>
        <b:Corporate>Phạm Thị Thanh Huyền</b:Corporate>
      </b:Author>
    </b:Author>
    <b:Title>“Những nhân tố tác động đến quá trình chuyển đổi số trong du lịch</b:Title>
    <b:JournalName> Tạp chí công thương số 14,</b:JournalName>
    <b:Year>2021</b:Year>
    <b:RefOrder>18</b:RefOrder>
  </b:Source>
  <b:Source>
    <b:Tag>VõH21</b:Tag>
    <b:SourceType>JournalArticle</b:SourceType>
    <b:Guid>{E4C22A9C-2EC0-4B82-88BD-A72B8C1A5A01}</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19</b:RefOrder>
  </b:Source>
  <b:Source>
    <b:Tag>VõH211</b:Tag>
    <b:SourceType>JournalArticle</b:SourceType>
    <b:Guid>{9E4AAD31-DCD8-4DA8-A26A-F29DA30C04BE}</b:Guid>
    <b:Author>
      <b:Author>
        <b:Corporate>Võ Hữu Hoà,</b:Corporate>
      </b:Author>
    </b:Author>
    <b:Title>Chuyển đổi số của các doanh nghiệp kinh doanh du lịch, dịch vụ tại Đà Nẵng hiện nay”</b:Title>
    <b:JournalName>Tạp chí khoa học và công nghệ đại học Duy tân, 3(46)</b:JournalName>
    <b:Year>2021</b:Year>
    <b:Pages>80-88.</b:Pages>
    <b:RefOrder>20</b:RefOrder>
  </b:Source>
  <b:Source>
    <b:Tag>Swe20</b:Tag>
    <b:SourceType>JournalArticle</b:SourceType>
    <b:Guid>{9A1B4B70-C295-43B5-8B00-C0B5B8056D26}</b:Guid>
    <b:Author>
      <b:Author>
        <b:Corporate>Swen, N. and Reinhard P</b:Corporate>
      </b:Author>
    </b:Author>
    <b:Title>“Digital transformation: a review, synthesis and opportunities for future research</b:Title>
    <b:JournalName>Management Review Quarterly, 71(2), DOI: 10.1007/s11301-020-00185-7.</b:JournalName>
    <b:Year>2020</b:Year>
    <b:Pages>233-341, </b:Pages>
    <b:RefOrder>21</b:RefOrder>
  </b:Source>
  <b:Source>
    <b:Tag>Ngu221</b:Tag>
    <b:SourceType>JournalArticle</b:SourceType>
    <b:Guid>{FB2CDCF3-B473-40A3-A234-BD5ED154E188}</b:Guid>
    <b:Author>
      <b:Author>
        <b:Corporate>Nguyễn Thị Kim Ánh</b:Corporate>
      </b:Author>
    </b:Author>
    <b:Title>“Các nhân tố ảnh hưởng đến chuyển đổi số doanh nghiệp:Trường hợp nghiên cứu tại Bình Định”</b:Title>
    <b:JournalName>Tạp chí Kinh tế và phát triển, 304 (2)</b:JournalName>
    <b:Year>2022</b:Year>
    <b:RefOrder>22</b:RefOrder>
  </b:Source>
  <b:Source>
    <b:Tag>Chử211</b:Tag>
    <b:SourceType>JournalArticle</b:SourceType>
    <b:Guid>{8A82D968-4F19-4A6F-AF76-DE30F417AE94}</b:Guid>
    <b:Author>
      <b:Author>
        <b:Corporate>Chử Bá Quyết</b:Corporate>
      </b:Author>
    </b:Author>
    <b:Title>Nghiên cứu khám phá các nhân tố ảnh hưởng đến chuyển đổi số thành công của doanh nghiệp ở Việt Nam</b:Title>
    <b:JournalName>Tạp chí Khoa học &amp; Đào tạo Ngân hàng, số 233</b:JournalName>
    <b:Year>2021</b:Year>
    <b:Pages>57- 70.</b:Pages>
    <b:RefOrder>23</b:RefOrder>
  </b:Source>
  <b:Source>
    <b:Tag>Ngu22</b:Tag>
    <b:SourceType>JournalArticle</b:SourceType>
    <b:Guid>{CD288386-7E57-45E1-B3F4-D4945143FF2E}</b:Guid>
    <b:Title>Các nhân tố ảnh hưởng đến chuyển đổi số doanh nghiệp:Mô hình nghiên cứu và thang đo”,</b:Title>
    <b:Year>2022</b:Year>
    <b:Author>
      <b:Author>
        <b:Corporate> Nguyễn Thị Kim Ánh</b:Corporate>
      </b:Author>
    </b:Author>
    <b:JournalName>Tạp chí tài chính doanh nghiệp</b:JournalName>
    <b:RefOrder>24</b:RefOrder>
  </b:Source>
  <b:Source>
    <b:Tag>Ngu24</b:Tag>
    <b:SourceType>ConferenceProceedings</b:SourceType>
    <b:Guid>{11FFB8C5-6E05-4694-92A6-6BBA043B7AA4}</b:Guid>
    <b:Title>Đào tạo nguồn nhân lực du lịch trong bối cảnh chuyển đổi số tại Việt Nam</b:Title>
    <b:Year>2024</b:Year>
    <b:Pages>292-302</b:Pages>
    <b:Author>
      <b:Author>
        <b:Corporate>Nguyễn Thị Thanh Hà</b:Corporate>
      </b:Author>
    </b:Author>
    <b:ConferenceName> Kỷ yếu hội thảo khoa học quốc tế đào tạo và sử dụng nguồn nhân lực du lịch chuẩn quốc tế trong giai đoạn hiện nay-Liên chi hội đào tạo du lịch Việt Nam</b:ConferenceName>
    <b:City>Hà nội</b:City>
    <b:Publisher>Nhà xuất bản đại học Quốc gia</b:Publisher>
    <b:RefOrder>25</b:RefOrder>
  </b:Source>
  <b:Source>
    <b:Tag>Chí22</b:Tag>
    <b:SourceType>Report</b:SourceType>
    <b:Guid>{B157F624-C72D-4057-B5A7-B07933C81338}</b:Guid>
    <b:Author>
      <b:Author>
        <b:Corporate>Chính phủ</b:Corporate>
      </b:Author>
    </b:Author>
    <b:Title>Nghị định về tín dụng đối với người nghèo và các đối tượng chính sách khác</b:Title>
    <b:Year>2022</b:Year>
    <b:Publisher>Chính phủ</b:Publisher>
    <b:City>Số 78/2022/NĐ-CP. Hà Nội, Việt Nam</b:City>
    <b:RefOrder>1</b:RefOrder>
  </b:Source>
  <b:Source>
    <b:Tag>Ngu23</b:Tag>
    <b:SourceType>InternetSite</b:SourceType>
    <b:Guid>{9129E4A1-9D71-4EAE-BDCA-7C97CA4DA8B1}</b:Guid>
    <b:Author>
      <b:Author>
        <b:Corporate>Nguyễn Lâm Thành</b:Corporate>
      </b:Author>
    </b:Author>
    <b:Title>Phát huy vai trò của tín dụng chính sách xã hội đối với đồng bào dân tộc thiểu số</b:Title>
    <b:InternetSiteTitle>Tạp chí Cộng sản</b:InternetSiteTitle>
    <b:Year>2023</b:Year>
    <b:Month>10</b:Month>
    <b:Day>16</b:Day>
    <b:URL>https://www.tapchicongsan.org.vn/web/guest/tin-tieu-diem/-/asset_publisher/s5L7xhQiJeKe/content/phat-huy-vai-tro-cua-tin-dung-chinh-sach-xa-hoi-doi-voi-dong-bao-dan-toc-thieu-so#:~:text=T%C3%ADn%20d%E1%BB%A5ng%20ch%C3%ADnh%20s%C3%A1ch%20x%C3%A3%20h%E1%BB%</b:URL>
    <b:RefOrder>2</b:RefOrder>
  </b:Source>
  <b:Source>
    <b:Tag>Cục24</b:Tag>
    <b:SourceType>Report</b:SourceType>
    <b:Guid>{964E0CC9-AB0E-4941-8D32-D5F2F4AD0444}</b:Guid>
    <b:Author>
      <b:Author>
        <b:Corporate>Cục thống kê tỉnh Đồng Nai</b:Corporate>
      </b:Author>
    </b:Author>
    <b:Title>Niên giám thống kê tỉnh Đồng Nai 2023</b:Title>
    <b:Year>2024</b:Year>
    <b:Publisher>Thống kê</b:Publisher>
    <b:City>Hà Nội</b:City>
    <b:RefOrder>3</b:RefOrder>
  </b:Source>
  <b:Source>
    <b:Tag>Ủyb24</b:Tag>
    <b:SourceType>Report</b:SourceType>
    <b:Guid>{D28A8178-39C7-414B-A0DE-53BD78204BB6}</b:Guid>
    <b:Title>Báo cáo tổng kết 10 năm thực hiện chỉ thị số 40-CT/TW ngày 22/11/2014 của Ban Bí thư Khóa XI về tăng cường sự lãnh đạo của Đảng đối với tín dụng chính sách xã hội trên địa bàn tỉnh Đồng Nai</b:Title>
    <b:Year>2024</b:Year>
    <b:Author>
      <b:Author>
        <b:Corporate>Ủy ban nhân dân tỉnh Đồng Nai</b:Corporate>
      </b:Author>
    </b:Author>
    <b:Publisher>Ủy Ban nhân dân tỉnh Đồng Nai</b:Publisher>
    <b:City>Số 428-BC/TU. Đồng Nai</b:City>
    <b:RefOrder>6</b:RefOrder>
  </b:Source>
  <b:Source>
    <b:Tag>Ngâ22</b:Tag>
    <b:SourceType>Report</b:SourceType>
    <b:Guid>{914D9D19-8F8E-49C1-AC3B-68391442A3A4}</b:Guid>
    <b:Author>
      <b:Author>
        <b:Corporate>Chi nhánh Ngân hàng chính sách xã hội tỉnh Đồng Nai</b:Corporate>
      </b:Author>
    </b:Author>
    <b:Title>Báo cáo tổng kết 20 năm triển khai chính sách tín dụng ưu đã đối với người nghèo và các đối tượng chính sách khác theo Nghị định số 78-NĐ/2002/NĐ-CP, ngày 10/4/2002 của Chính phủ trên địa bàn tỉnh Đồng Nai</b:Title>
    <b:Year>2022</b:Year>
    <b:City>Đồng Nai</b:City>
    <b:RefOrder>5</b:RefOrder>
  </b:Source>
  <b:Source>
    <b:Tag>Chi24</b:Tag>
    <b:SourceType>Report</b:SourceType>
    <b:Guid>{558764EA-610B-4ABA-945D-D84F68111473}</b:Guid>
    <b:Title>Phối hợp tham mưu UBND tỉnh chuyển vốn ngân sách tỉnh ủy thác sang NHCSXH để cho vay đối với người chấp hành xong án phạt tù</b:Title>
    <b:Year>2024b</b:Year>
    <b:City>Số 1089/NHCSXH-KHTD, ngày 17/10/2024. Đồng Nai</b:City>
    <b:Author>
      <b:Author>
        <b:Corporate>Chi nhánh Ngân hàng Chính sách xã hội tỉnh Đồng Nai</b:Corporate>
      </b:Author>
    </b:Author>
    <b:RefOrder>7</b:RefOrder>
  </b:Source>
  <b:Source>
    <b:Tag>Ngâ24</b:Tag>
    <b:SourceType>Report</b:SourceType>
    <b:Guid>{7EC86150-81FF-4247-A276-BE6A5F191973}</b:Guid>
    <b:Author>
      <b:Author>
        <b:Corporate>Chi nhánh Ngân hàng Chính sách xã hội tỉnh Đồng Nai</b:Corporate>
      </b:Author>
    </b:Author>
    <b:Title>Báo cáo kết quả hoạt động năm 2023, kế hoạch thực hiện nhiệm vụ năm 2024</b:Title>
    <b:Year>2024a</b:Year>
    <b:City>Tỉnh Đồng Nai</b:City>
    <b:RefOrder>4</b:RefOrder>
  </b:Source>
</b:Sources>
</file>

<file path=customXml/itemProps1.xml><?xml version="1.0" encoding="utf-8"?>
<ds:datastoreItem xmlns:ds="http://schemas.openxmlformats.org/officeDocument/2006/customXml" ds:itemID="{2C9FC412-F0B1-4917-8071-63ABC2DA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5851</Words>
  <Characters>33357</Characters>
  <Application>Microsoft Office Word</Application>
  <DocSecurity>0</DocSecurity>
  <Lines>277</Lines>
  <Paragraphs>78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36</cp:revision>
  <cp:lastPrinted>2023-02-07T03:18:00Z</cp:lastPrinted>
  <dcterms:created xsi:type="dcterms:W3CDTF">2025-03-05T15:13:00Z</dcterms:created>
  <dcterms:modified xsi:type="dcterms:W3CDTF">2025-03-18T07:12:00Z</dcterms:modified>
</cp:coreProperties>
</file>